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CE1E10">
      <w:pPr>
        <w:snapToGrid w:val="0"/>
        <w:spacing w:line="560" w:lineRule="exact"/>
        <w:jc w:val="center"/>
        <w:rPr>
          <w:rFonts w:ascii="Times New Roman" w:hAnsi="Times New Roman" w:cs="Times New Roman"/>
          <w:b/>
          <w:bCs/>
          <w:kern w:val="44"/>
          <w:sz w:val="44"/>
          <w:szCs w:val="44"/>
          <w:highlight w:val="none"/>
          <w:lang w:bidi="en-US"/>
        </w:rPr>
      </w:pPr>
      <w:r>
        <w:rPr>
          <w:rFonts w:ascii="Times New Roman" w:hAnsi="Times New Roman" w:cs="Times New Roman"/>
          <w:b/>
          <w:bCs/>
          <w:kern w:val="44"/>
          <w:sz w:val="44"/>
          <w:szCs w:val="44"/>
          <w:highlight w:val="none"/>
          <w:lang w:bidi="en-US"/>
        </w:rPr>
        <w:t>四川蜀道新能源科技发展有限公司</w:t>
      </w:r>
    </w:p>
    <w:p w14:paraId="3B95EB1C">
      <w:pPr>
        <w:pStyle w:val="11"/>
        <w:snapToGrid w:val="0"/>
        <w:spacing w:line="360" w:lineRule="auto"/>
        <w:jc w:val="center"/>
        <w:rPr>
          <w:rFonts w:ascii="Times New Roman" w:hAnsi="Times New Roman" w:cs="Times New Roman"/>
          <w:b/>
          <w:bCs/>
          <w:kern w:val="44"/>
          <w:sz w:val="84"/>
          <w:szCs w:val="84"/>
          <w:highlight w:val="none"/>
          <w:lang w:bidi="en-US"/>
        </w:rPr>
      </w:pPr>
      <w:r>
        <w:rPr>
          <w:rFonts w:hint="eastAsia" w:ascii="Times New Roman" w:hAnsi="Times New Roman" w:cs="Times New Roman"/>
          <w:b/>
          <w:bCs/>
          <w:kern w:val="44"/>
          <w:sz w:val="44"/>
          <w:szCs w:val="44"/>
          <w:highlight w:val="none"/>
          <w:lang w:val="en-US" w:eastAsia="zh-CN" w:bidi="en-US"/>
        </w:rPr>
        <w:t>淮口服务区充（换）电站高压改迁工程</w:t>
      </w:r>
    </w:p>
    <w:p w14:paraId="0BD0C3FB">
      <w:pPr>
        <w:pStyle w:val="11"/>
        <w:snapToGrid w:val="0"/>
        <w:spacing w:line="360" w:lineRule="auto"/>
        <w:jc w:val="center"/>
        <w:rPr>
          <w:rFonts w:hint="default" w:ascii="Times New Roman" w:hAnsi="Times New Roman" w:eastAsia="宋体" w:cs="Times New Roman"/>
          <w:b/>
          <w:bCs/>
          <w:kern w:val="44"/>
          <w:sz w:val="84"/>
          <w:szCs w:val="84"/>
          <w:highlight w:val="none"/>
          <w:lang w:val="en-US" w:eastAsia="zh-CN" w:bidi="en-US"/>
        </w:rPr>
      </w:pPr>
    </w:p>
    <w:p w14:paraId="6A5C63B9">
      <w:pPr>
        <w:pStyle w:val="11"/>
        <w:snapToGrid w:val="0"/>
        <w:spacing w:line="360" w:lineRule="auto"/>
        <w:jc w:val="center"/>
        <w:rPr>
          <w:rFonts w:ascii="Times New Roman" w:hAnsi="Times New Roman" w:cs="Times New Roman"/>
          <w:b/>
          <w:spacing w:val="80"/>
          <w:sz w:val="90"/>
          <w:szCs w:val="90"/>
          <w:highlight w:val="none"/>
        </w:rPr>
      </w:pPr>
      <w:r>
        <w:rPr>
          <w:rFonts w:hint="eastAsia" w:ascii="Times New Roman" w:hAnsi="Times New Roman" w:cs="Times New Roman"/>
          <w:b/>
          <w:spacing w:val="80"/>
          <w:sz w:val="90"/>
          <w:szCs w:val="90"/>
          <w:highlight w:val="none"/>
        </w:rPr>
        <w:t>比选</w:t>
      </w:r>
      <w:r>
        <w:rPr>
          <w:rFonts w:ascii="Times New Roman" w:hAnsi="Times New Roman" w:cs="Times New Roman"/>
          <w:b/>
          <w:spacing w:val="80"/>
          <w:sz w:val="90"/>
          <w:szCs w:val="90"/>
          <w:highlight w:val="none"/>
        </w:rPr>
        <w:t>文件</w:t>
      </w:r>
    </w:p>
    <w:p w14:paraId="78AF536B">
      <w:pPr>
        <w:pStyle w:val="11"/>
        <w:snapToGrid w:val="0"/>
        <w:spacing w:line="360" w:lineRule="auto"/>
        <w:jc w:val="center"/>
        <w:rPr>
          <w:rFonts w:ascii="Times New Roman" w:hAnsi="Times New Roman" w:cs="Times New Roman"/>
          <w:b/>
          <w:bCs/>
          <w:kern w:val="44"/>
          <w:sz w:val="84"/>
          <w:szCs w:val="84"/>
          <w:highlight w:val="none"/>
          <w:lang w:bidi="en-US"/>
        </w:rPr>
      </w:pPr>
    </w:p>
    <w:p w14:paraId="41FEBE73">
      <w:pPr>
        <w:pStyle w:val="11"/>
        <w:snapToGrid w:val="0"/>
        <w:spacing w:line="360" w:lineRule="auto"/>
        <w:jc w:val="center"/>
        <w:rPr>
          <w:rFonts w:ascii="Times New Roman" w:hAnsi="Times New Roman" w:cs="Times New Roman"/>
          <w:b/>
          <w:bCs/>
          <w:kern w:val="44"/>
          <w:sz w:val="84"/>
          <w:szCs w:val="84"/>
          <w:highlight w:val="none"/>
          <w:lang w:bidi="en-US"/>
        </w:rPr>
      </w:pPr>
    </w:p>
    <w:p w14:paraId="33BB90B2">
      <w:pPr>
        <w:pStyle w:val="11"/>
        <w:snapToGrid w:val="0"/>
        <w:spacing w:line="360" w:lineRule="auto"/>
        <w:jc w:val="center"/>
        <w:rPr>
          <w:rFonts w:ascii="Times New Roman" w:hAnsi="Times New Roman" w:cs="Times New Roman"/>
          <w:b/>
          <w:bCs/>
          <w:kern w:val="44"/>
          <w:sz w:val="84"/>
          <w:szCs w:val="84"/>
          <w:highlight w:val="none"/>
          <w:lang w:bidi="en-US"/>
        </w:rPr>
      </w:pPr>
    </w:p>
    <w:p w14:paraId="23BE159C">
      <w:pPr>
        <w:autoSpaceDE/>
        <w:autoSpaceDN/>
        <w:adjustRightInd/>
        <w:spacing w:line="240" w:lineRule="auto"/>
        <w:ind w:right="0"/>
        <w:jc w:val="left"/>
        <w:outlineLvl w:val="9"/>
        <w:rPr>
          <w:b/>
          <w:bCs/>
          <w:sz w:val="32"/>
          <w:szCs w:val="32"/>
        </w:rPr>
      </w:pPr>
      <w:r>
        <w:rPr>
          <w:b/>
          <w:bCs/>
          <w:sz w:val="32"/>
          <w:szCs w:val="32"/>
        </w:rPr>
        <w:t xml:space="preserve"> </w:t>
      </w:r>
      <w:r>
        <w:rPr>
          <w:rFonts w:hint="eastAsia"/>
          <w:b/>
          <w:bCs/>
          <w:sz w:val="32"/>
          <w:szCs w:val="32"/>
          <w:lang w:val="en-US" w:eastAsia="zh-CN"/>
        </w:rPr>
        <w:t xml:space="preserve"> </w:t>
      </w:r>
      <w:r>
        <w:rPr>
          <w:b/>
          <w:bCs/>
          <w:sz w:val="32"/>
          <w:szCs w:val="32"/>
        </w:rPr>
        <w:t xml:space="preserve"> </w:t>
      </w:r>
      <w:bookmarkStart w:id="0" w:name="_Toc28485"/>
      <w:r>
        <w:rPr>
          <w:rFonts w:hint="eastAsia"/>
          <w:b/>
          <w:bCs/>
          <w:sz w:val="32"/>
          <w:szCs w:val="32"/>
        </w:rPr>
        <w:t>比选人</w:t>
      </w:r>
      <w:r>
        <w:rPr>
          <w:b/>
          <w:bCs/>
          <w:sz w:val="32"/>
          <w:szCs w:val="32"/>
        </w:rPr>
        <w:t>：四川蜀道新能源科技发展有限公司</w:t>
      </w:r>
      <w:bookmarkEnd w:id="0"/>
    </w:p>
    <w:p w14:paraId="65ED72E9">
      <w:pPr>
        <w:autoSpaceDE/>
        <w:autoSpaceDN/>
        <w:adjustRightInd/>
        <w:spacing w:line="240" w:lineRule="auto"/>
        <w:ind w:right="0" w:firstLine="643" w:firstLineChars="200"/>
        <w:jc w:val="left"/>
        <w:outlineLvl w:val="9"/>
        <w:rPr>
          <w:rFonts w:ascii="Times New Roman" w:hAnsi="Times New Roman" w:cs="Times New Roman"/>
          <w:b/>
          <w:bCs/>
          <w:kern w:val="44"/>
          <w:szCs w:val="32"/>
          <w:highlight w:val="none"/>
          <w:lang w:bidi="en-US"/>
        </w:rPr>
      </w:pPr>
      <w:bookmarkStart w:id="1" w:name="_Toc29956"/>
      <w:r>
        <w:rPr>
          <w:b/>
          <w:bCs/>
          <w:sz w:val="32"/>
          <w:szCs w:val="32"/>
        </w:rPr>
        <w:t>时</w:t>
      </w:r>
      <w:r>
        <w:rPr>
          <w:rFonts w:hint="eastAsia"/>
          <w:b/>
          <w:bCs/>
          <w:sz w:val="32"/>
          <w:szCs w:val="32"/>
          <w:lang w:val="en-US" w:eastAsia="zh-CN"/>
        </w:rPr>
        <w:t xml:space="preserve"> </w:t>
      </w:r>
      <w:r>
        <w:rPr>
          <w:b/>
          <w:bCs/>
          <w:sz w:val="32"/>
          <w:szCs w:val="32"/>
        </w:rPr>
        <w:t>间：</w:t>
      </w:r>
      <w:r>
        <w:rPr>
          <w:rFonts w:hint="eastAsia"/>
          <w:b/>
          <w:bCs/>
          <w:sz w:val="32"/>
          <w:szCs w:val="32"/>
          <w:lang w:val="en-US" w:eastAsia="zh-CN"/>
        </w:rPr>
        <w:t xml:space="preserve"> 2026</w:t>
      </w:r>
      <w:r>
        <w:rPr>
          <w:b/>
          <w:bCs/>
          <w:sz w:val="32"/>
          <w:szCs w:val="32"/>
        </w:rPr>
        <w:t>年</w:t>
      </w:r>
      <w:r>
        <w:rPr>
          <w:rFonts w:hint="eastAsia"/>
          <w:b/>
          <w:bCs/>
          <w:sz w:val="32"/>
          <w:szCs w:val="32"/>
          <w:lang w:val="en-US" w:eastAsia="zh-CN"/>
        </w:rPr>
        <w:t>9</w:t>
      </w:r>
      <w:r>
        <w:rPr>
          <w:b/>
          <w:bCs/>
          <w:sz w:val="32"/>
          <w:szCs w:val="32"/>
        </w:rPr>
        <w:t>月</w:t>
      </w:r>
      <w:bookmarkEnd w:id="1"/>
      <w:r>
        <w:rPr>
          <w:b/>
          <w:bCs/>
          <w:sz w:val="32"/>
          <w:szCs w:val="32"/>
        </w:rPr>
        <w:t xml:space="preserve">       </w:t>
      </w:r>
      <w:r>
        <w:rPr>
          <w:rFonts w:ascii="Times New Roman" w:hAnsi="Times New Roman" w:cs="Times New Roman"/>
          <w:b/>
          <w:bCs/>
          <w:kern w:val="44"/>
          <w:szCs w:val="32"/>
          <w:highlight w:val="none"/>
          <w:lang w:bidi="en-US"/>
        </w:rPr>
        <w:t xml:space="preserve"> </w:t>
      </w:r>
    </w:p>
    <w:p w14:paraId="6543EF70">
      <w:pPr>
        <w:jc w:val="center"/>
        <w:rPr>
          <w:rFonts w:ascii="Times New Roman" w:hAnsi="Times New Roman" w:cs="Times New Roman"/>
          <w:b/>
          <w:bCs/>
          <w:sz w:val="28"/>
          <w:szCs w:val="28"/>
          <w:highlight w:val="none"/>
        </w:rPr>
        <w:sectPr>
          <w:headerReference r:id="rId3" w:type="default"/>
          <w:footerReference r:id="rId4" w:type="default"/>
          <w:footerReference r:id="rId5" w:type="even"/>
          <w:pgSz w:w="11906" w:h="16838"/>
          <w:pgMar w:top="1440" w:right="1800" w:bottom="1440" w:left="1800" w:header="851" w:footer="992" w:gutter="0"/>
          <w:pgNumType w:fmt="numberInDash"/>
          <w:cols w:space="720" w:num="1"/>
          <w:docGrid w:type="lines" w:linePitch="312" w:charSpace="0"/>
        </w:sectPr>
      </w:pPr>
    </w:p>
    <w:p w14:paraId="02B15850">
      <w:pPr>
        <w:jc w:val="center"/>
        <w:rPr>
          <w:rFonts w:ascii="Times New Roman" w:hAnsi="Times New Roman" w:cs="Times New Roman"/>
          <w:b/>
          <w:bCs/>
          <w:sz w:val="28"/>
          <w:szCs w:val="28"/>
          <w:highlight w:val="none"/>
        </w:rPr>
      </w:pPr>
      <w:r>
        <w:rPr>
          <w:rFonts w:ascii="Times New Roman" w:hAnsi="Times New Roman" w:cs="Times New Roman"/>
          <w:b/>
          <w:bCs/>
          <w:sz w:val="28"/>
          <w:szCs w:val="28"/>
          <w:highlight w:val="none"/>
        </w:rPr>
        <w:t>目录</w:t>
      </w:r>
    </w:p>
    <w:p w14:paraId="27CFBE47">
      <w:pPr>
        <w:jc w:val="center"/>
        <w:rPr>
          <w:rFonts w:ascii="Times New Roman" w:hAnsi="Times New Roman" w:cs="Times New Roman"/>
          <w:b/>
          <w:bCs/>
          <w:sz w:val="28"/>
          <w:szCs w:val="28"/>
          <w:highlight w:val="none"/>
        </w:rPr>
      </w:pPr>
    </w:p>
    <w:p w14:paraId="0F24C9CA">
      <w:pPr>
        <w:pStyle w:val="13"/>
        <w:tabs>
          <w:tab w:val="right" w:leader="dot" w:pos="8306"/>
          <w:tab w:val="clear" w:pos="9180"/>
        </w:tabs>
        <w:spacing w:line="720" w:lineRule="auto"/>
      </w:pPr>
      <w:r>
        <w:rPr>
          <w:szCs w:val="21"/>
          <w:highlight w:val="none"/>
        </w:rPr>
        <w:fldChar w:fldCharType="begin"/>
      </w:r>
      <w:r>
        <w:rPr>
          <w:szCs w:val="21"/>
          <w:highlight w:val="none"/>
        </w:rPr>
        <w:instrText xml:space="preserve">TOC \o "1-1" \h \u </w:instrText>
      </w:r>
      <w:r>
        <w:rPr>
          <w:szCs w:val="21"/>
          <w:highlight w:val="none"/>
        </w:rPr>
        <w:fldChar w:fldCharType="separate"/>
      </w:r>
    </w:p>
    <w:p w14:paraId="59067326">
      <w:pPr>
        <w:pStyle w:val="13"/>
        <w:tabs>
          <w:tab w:val="right" w:leader="dot" w:pos="8306"/>
          <w:tab w:val="clear" w:pos="9180"/>
        </w:tabs>
        <w:spacing w:line="480" w:lineRule="auto"/>
        <w:rPr>
          <w:sz w:val="28"/>
          <w:szCs w:val="28"/>
        </w:rPr>
      </w:pPr>
      <w:r>
        <w:rPr>
          <w:rFonts w:ascii="Times New Roman" w:hAnsi="Times New Roman" w:cs="Times New Roman"/>
          <w:sz w:val="28"/>
          <w:szCs w:val="28"/>
          <w:highlight w:val="none"/>
        </w:rPr>
        <w:fldChar w:fldCharType="begin"/>
      </w:r>
      <w:r>
        <w:rPr>
          <w:rFonts w:ascii="Times New Roman" w:hAnsi="Times New Roman" w:cs="Times New Roman"/>
          <w:sz w:val="28"/>
          <w:szCs w:val="28"/>
          <w:highlight w:val="none"/>
        </w:rPr>
        <w:instrText xml:space="preserve"> HYPERLINK \l _Toc30226 </w:instrText>
      </w:r>
      <w:r>
        <w:rPr>
          <w:rFonts w:ascii="Times New Roman" w:hAnsi="Times New Roman" w:cs="Times New Roman"/>
          <w:sz w:val="28"/>
          <w:szCs w:val="28"/>
          <w:highlight w:val="none"/>
        </w:rPr>
        <w:fldChar w:fldCharType="separate"/>
      </w:r>
      <w:r>
        <w:rPr>
          <w:sz w:val="28"/>
          <w:szCs w:val="28"/>
          <w:highlight w:val="none"/>
        </w:rPr>
        <w:t xml:space="preserve">第一章 </w:t>
      </w:r>
      <w:r>
        <w:rPr>
          <w:rFonts w:hint="eastAsia"/>
          <w:sz w:val="28"/>
          <w:szCs w:val="28"/>
          <w:highlight w:val="none"/>
        </w:rPr>
        <w:t>比选公告</w:t>
      </w:r>
      <w:r>
        <w:rPr>
          <w:sz w:val="28"/>
          <w:szCs w:val="28"/>
        </w:rPr>
        <w:tab/>
      </w:r>
      <w:r>
        <w:rPr>
          <w:sz w:val="28"/>
          <w:szCs w:val="28"/>
        </w:rPr>
        <w:fldChar w:fldCharType="begin"/>
      </w:r>
      <w:r>
        <w:rPr>
          <w:sz w:val="28"/>
          <w:szCs w:val="28"/>
        </w:rPr>
        <w:instrText xml:space="preserve"> PAGEREF _Toc30226 \h </w:instrText>
      </w:r>
      <w:r>
        <w:rPr>
          <w:sz w:val="28"/>
          <w:szCs w:val="28"/>
        </w:rPr>
        <w:fldChar w:fldCharType="separate"/>
      </w:r>
      <w:r>
        <w:rPr>
          <w:sz w:val="28"/>
          <w:szCs w:val="28"/>
        </w:rPr>
        <w:t>- 1 -</w:t>
      </w:r>
      <w:r>
        <w:rPr>
          <w:sz w:val="28"/>
          <w:szCs w:val="28"/>
        </w:rPr>
        <w:fldChar w:fldCharType="end"/>
      </w:r>
      <w:r>
        <w:rPr>
          <w:rFonts w:ascii="Times New Roman" w:hAnsi="Times New Roman" w:cs="Times New Roman"/>
          <w:sz w:val="28"/>
          <w:szCs w:val="28"/>
          <w:highlight w:val="none"/>
        </w:rPr>
        <w:fldChar w:fldCharType="end"/>
      </w:r>
    </w:p>
    <w:p w14:paraId="2661ECA2">
      <w:pPr>
        <w:pStyle w:val="13"/>
        <w:tabs>
          <w:tab w:val="right" w:leader="dot" w:pos="8306"/>
          <w:tab w:val="clear" w:pos="9180"/>
        </w:tabs>
        <w:spacing w:line="480" w:lineRule="auto"/>
        <w:rPr>
          <w:sz w:val="28"/>
          <w:szCs w:val="28"/>
        </w:rPr>
      </w:pPr>
      <w:r>
        <w:rPr>
          <w:rFonts w:ascii="Times New Roman" w:hAnsi="Times New Roman" w:cs="Times New Roman"/>
          <w:sz w:val="28"/>
          <w:szCs w:val="28"/>
          <w:highlight w:val="none"/>
        </w:rPr>
        <w:fldChar w:fldCharType="begin"/>
      </w:r>
      <w:r>
        <w:rPr>
          <w:rFonts w:ascii="Times New Roman" w:hAnsi="Times New Roman" w:cs="Times New Roman"/>
          <w:sz w:val="28"/>
          <w:szCs w:val="28"/>
          <w:highlight w:val="none"/>
        </w:rPr>
        <w:instrText xml:space="preserve"> HYPERLINK \l _Toc24245 </w:instrText>
      </w:r>
      <w:r>
        <w:rPr>
          <w:rFonts w:ascii="Times New Roman" w:hAnsi="Times New Roman" w:cs="Times New Roman"/>
          <w:sz w:val="28"/>
          <w:szCs w:val="28"/>
          <w:highlight w:val="none"/>
        </w:rPr>
        <w:fldChar w:fldCharType="separate"/>
      </w:r>
      <w:r>
        <w:rPr>
          <w:sz w:val="28"/>
          <w:szCs w:val="28"/>
          <w:highlight w:val="none"/>
        </w:rPr>
        <w:t xml:space="preserve">第二章 </w:t>
      </w:r>
      <w:r>
        <w:rPr>
          <w:rFonts w:hint="eastAsia"/>
          <w:sz w:val="28"/>
          <w:szCs w:val="28"/>
          <w:highlight w:val="none"/>
        </w:rPr>
        <w:t>比选申请人</w:t>
      </w:r>
      <w:r>
        <w:rPr>
          <w:sz w:val="28"/>
          <w:szCs w:val="28"/>
          <w:highlight w:val="none"/>
        </w:rPr>
        <w:t>须知</w:t>
      </w:r>
      <w:r>
        <w:rPr>
          <w:sz w:val="28"/>
          <w:szCs w:val="28"/>
        </w:rPr>
        <w:tab/>
      </w:r>
      <w:r>
        <w:rPr>
          <w:sz w:val="28"/>
          <w:szCs w:val="28"/>
        </w:rPr>
        <w:fldChar w:fldCharType="begin"/>
      </w:r>
      <w:r>
        <w:rPr>
          <w:sz w:val="28"/>
          <w:szCs w:val="28"/>
        </w:rPr>
        <w:instrText xml:space="preserve"> PAGEREF _Toc24245 \h </w:instrText>
      </w:r>
      <w:r>
        <w:rPr>
          <w:sz w:val="28"/>
          <w:szCs w:val="28"/>
        </w:rPr>
        <w:fldChar w:fldCharType="separate"/>
      </w:r>
      <w:r>
        <w:rPr>
          <w:sz w:val="28"/>
          <w:szCs w:val="28"/>
        </w:rPr>
        <w:t>- 5 -</w:t>
      </w:r>
      <w:r>
        <w:rPr>
          <w:sz w:val="28"/>
          <w:szCs w:val="28"/>
        </w:rPr>
        <w:fldChar w:fldCharType="end"/>
      </w:r>
      <w:r>
        <w:rPr>
          <w:rFonts w:ascii="Times New Roman" w:hAnsi="Times New Roman" w:cs="Times New Roman"/>
          <w:sz w:val="28"/>
          <w:szCs w:val="28"/>
          <w:highlight w:val="none"/>
        </w:rPr>
        <w:fldChar w:fldCharType="end"/>
      </w:r>
    </w:p>
    <w:p w14:paraId="1428B4C6">
      <w:pPr>
        <w:pStyle w:val="13"/>
        <w:tabs>
          <w:tab w:val="right" w:leader="dot" w:pos="8306"/>
          <w:tab w:val="clear" w:pos="9180"/>
        </w:tabs>
        <w:spacing w:line="480" w:lineRule="auto"/>
        <w:rPr>
          <w:sz w:val="28"/>
          <w:szCs w:val="28"/>
        </w:rPr>
      </w:pPr>
      <w:r>
        <w:rPr>
          <w:rFonts w:ascii="Times New Roman" w:hAnsi="Times New Roman" w:cs="Times New Roman"/>
          <w:sz w:val="28"/>
          <w:szCs w:val="28"/>
          <w:highlight w:val="none"/>
        </w:rPr>
        <w:fldChar w:fldCharType="begin"/>
      </w:r>
      <w:r>
        <w:rPr>
          <w:rFonts w:ascii="Times New Roman" w:hAnsi="Times New Roman" w:cs="Times New Roman"/>
          <w:sz w:val="28"/>
          <w:szCs w:val="28"/>
          <w:highlight w:val="none"/>
        </w:rPr>
        <w:instrText xml:space="preserve"> HYPERLINK \l _Toc23547 </w:instrText>
      </w:r>
      <w:r>
        <w:rPr>
          <w:rFonts w:ascii="Times New Roman" w:hAnsi="Times New Roman" w:cs="Times New Roman"/>
          <w:sz w:val="28"/>
          <w:szCs w:val="28"/>
          <w:highlight w:val="none"/>
        </w:rPr>
        <w:fldChar w:fldCharType="separate"/>
      </w:r>
      <w:r>
        <w:rPr>
          <w:rFonts w:hint="eastAsia" w:eastAsia="宋体" w:cs="Times New Roman"/>
          <w:bCs/>
          <w:kern w:val="44"/>
          <w:sz w:val="28"/>
          <w:szCs w:val="28"/>
          <w:highlight w:val="none"/>
          <w:lang w:val="en-US" w:eastAsia="zh-CN"/>
        </w:rPr>
        <w:t xml:space="preserve">第三章 </w:t>
      </w:r>
      <w:r>
        <w:rPr>
          <w:rFonts w:ascii="Times New Roman" w:hAnsi="Times New Roman" w:eastAsia="宋体" w:cs="Times New Roman"/>
          <w:bCs/>
          <w:kern w:val="44"/>
          <w:sz w:val="28"/>
          <w:szCs w:val="28"/>
          <w:highlight w:val="none"/>
        </w:rPr>
        <w:t>评</w:t>
      </w:r>
      <w:r>
        <w:rPr>
          <w:rFonts w:hint="default" w:ascii="Times New Roman" w:hAnsi="Times New Roman" w:eastAsia="宋体" w:cs="Times New Roman"/>
          <w:bCs/>
          <w:kern w:val="44"/>
          <w:sz w:val="28"/>
          <w:szCs w:val="28"/>
          <w:highlight w:val="none"/>
          <w:lang w:val="en-US" w:eastAsia="zh-CN"/>
        </w:rPr>
        <w:t>审</w:t>
      </w:r>
      <w:r>
        <w:rPr>
          <w:rFonts w:ascii="Times New Roman" w:hAnsi="Times New Roman" w:eastAsia="宋体" w:cs="Times New Roman"/>
          <w:bCs/>
          <w:kern w:val="44"/>
          <w:sz w:val="28"/>
          <w:szCs w:val="28"/>
          <w:highlight w:val="none"/>
        </w:rPr>
        <w:t>办法（综合评分法）</w:t>
      </w:r>
      <w:r>
        <w:rPr>
          <w:sz w:val="28"/>
          <w:szCs w:val="28"/>
        </w:rPr>
        <w:tab/>
      </w:r>
      <w:r>
        <w:rPr>
          <w:sz w:val="28"/>
          <w:szCs w:val="28"/>
        </w:rPr>
        <w:fldChar w:fldCharType="begin"/>
      </w:r>
      <w:r>
        <w:rPr>
          <w:sz w:val="28"/>
          <w:szCs w:val="28"/>
        </w:rPr>
        <w:instrText xml:space="preserve"> PAGEREF _Toc23547 \h </w:instrText>
      </w:r>
      <w:r>
        <w:rPr>
          <w:sz w:val="28"/>
          <w:szCs w:val="28"/>
        </w:rPr>
        <w:fldChar w:fldCharType="separate"/>
      </w:r>
      <w:r>
        <w:rPr>
          <w:sz w:val="28"/>
          <w:szCs w:val="28"/>
        </w:rPr>
        <w:t>- 19 -</w:t>
      </w:r>
      <w:r>
        <w:rPr>
          <w:sz w:val="28"/>
          <w:szCs w:val="28"/>
        </w:rPr>
        <w:fldChar w:fldCharType="end"/>
      </w:r>
      <w:r>
        <w:rPr>
          <w:rFonts w:ascii="Times New Roman" w:hAnsi="Times New Roman" w:cs="Times New Roman"/>
          <w:sz w:val="28"/>
          <w:szCs w:val="28"/>
          <w:highlight w:val="none"/>
        </w:rPr>
        <w:fldChar w:fldCharType="end"/>
      </w:r>
    </w:p>
    <w:p w14:paraId="1DABF133">
      <w:pPr>
        <w:pStyle w:val="13"/>
        <w:tabs>
          <w:tab w:val="right" w:leader="dot" w:pos="8306"/>
          <w:tab w:val="clear" w:pos="9180"/>
        </w:tabs>
        <w:spacing w:line="480" w:lineRule="auto"/>
        <w:rPr>
          <w:sz w:val="28"/>
          <w:szCs w:val="28"/>
        </w:rPr>
      </w:pPr>
      <w:r>
        <w:rPr>
          <w:rFonts w:ascii="Times New Roman" w:hAnsi="Times New Roman" w:cs="Times New Roman"/>
          <w:sz w:val="28"/>
          <w:szCs w:val="28"/>
          <w:highlight w:val="none"/>
        </w:rPr>
        <w:fldChar w:fldCharType="begin"/>
      </w:r>
      <w:r>
        <w:rPr>
          <w:rFonts w:ascii="Times New Roman" w:hAnsi="Times New Roman" w:cs="Times New Roman"/>
          <w:sz w:val="28"/>
          <w:szCs w:val="28"/>
          <w:highlight w:val="none"/>
        </w:rPr>
        <w:instrText xml:space="preserve"> HYPERLINK \l _Toc25188 </w:instrText>
      </w:r>
      <w:r>
        <w:rPr>
          <w:rFonts w:ascii="Times New Roman" w:hAnsi="Times New Roman" w:cs="Times New Roman"/>
          <w:sz w:val="28"/>
          <w:szCs w:val="28"/>
          <w:highlight w:val="none"/>
        </w:rPr>
        <w:fldChar w:fldCharType="separate"/>
      </w:r>
      <w:r>
        <w:rPr>
          <w:rFonts w:hint="eastAsia"/>
          <w:sz w:val="28"/>
          <w:szCs w:val="28"/>
        </w:rPr>
        <w:t>第</w:t>
      </w:r>
      <w:r>
        <w:rPr>
          <w:rFonts w:hint="eastAsia"/>
          <w:sz w:val="28"/>
          <w:szCs w:val="28"/>
          <w:lang w:val="en-US" w:eastAsia="zh-CN"/>
        </w:rPr>
        <w:t>四</w:t>
      </w:r>
      <w:r>
        <w:rPr>
          <w:rFonts w:hint="eastAsia"/>
          <w:sz w:val="28"/>
          <w:szCs w:val="28"/>
        </w:rPr>
        <w:t xml:space="preserve">章 </w:t>
      </w:r>
      <w:r>
        <w:rPr>
          <w:sz w:val="28"/>
          <w:szCs w:val="28"/>
          <w:highlight w:val="none"/>
        </w:rPr>
        <w:t>合同条款及格式</w:t>
      </w:r>
      <w:r>
        <w:rPr>
          <w:sz w:val="28"/>
          <w:szCs w:val="28"/>
        </w:rPr>
        <w:tab/>
      </w:r>
      <w:r>
        <w:rPr>
          <w:sz w:val="28"/>
          <w:szCs w:val="28"/>
        </w:rPr>
        <w:fldChar w:fldCharType="begin"/>
      </w:r>
      <w:r>
        <w:rPr>
          <w:sz w:val="28"/>
          <w:szCs w:val="28"/>
        </w:rPr>
        <w:instrText xml:space="preserve"> PAGEREF _Toc25188 \h </w:instrText>
      </w:r>
      <w:r>
        <w:rPr>
          <w:sz w:val="28"/>
          <w:szCs w:val="28"/>
        </w:rPr>
        <w:fldChar w:fldCharType="separate"/>
      </w:r>
      <w:r>
        <w:rPr>
          <w:sz w:val="28"/>
          <w:szCs w:val="28"/>
        </w:rPr>
        <w:t>- 25 -</w:t>
      </w:r>
      <w:r>
        <w:rPr>
          <w:sz w:val="28"/>
          <w:szCs w:val="28"/>
        </w:rPr>
        <w:fldChar w:fldCharType="end"/>
      </w:r>
      <w:r>
        <w:rPr>
          <w:rFonts w:ascii="Times New Roman" w:hAnsi="Times New Roman" w:cs="Times New Roman"/>
          <w:sz w:val="28"/>
          <w:szCs w:val="28"/>
          <w:highlight w:val="none"/>
        </w:rPr>
        <w:fldChar w:fldCharType="end"/>
      </w:r>
    </w:p>
    <w:p w14:paraId="3FABF7E4">
      <w:pPr>
        <w:pStyle w:val="13"/>
        <w:tabs>
          <w:tab w:val="right" w:leader="dot" w:pos="8306"/>
          <w:tab w:val="clear" w:pos="9180"/>
        </w:tabs>
        <w:spacing w:line="480" w:lineRule="auto"/>
        <w:rPr>
          <w:sz w:val="28"/>
          <w:szCs w:val="28"/>
        </w:rPr>
      </w:pPr>
      <w:r>
        <w:rPr>
          <w:rFonts w:ascii="Times New Roman" w:hAnsi="Times New Roman" w:cs="Times New Roman"/>
          <w:sz w:val="28"/>
          <w:szCs w:val="28"/>
          <w:highlight w:val="none"/>
        </w:rPr>
        <w:fldChar w:fldCharType="begin"/>
      </w:r>
      <w:r>
        <w:rPr>
          <w:rFonts w:ascii="Times New Roman" w:hAnsi="Times New Roman" w:cs="Times New Roman"/>
          <w:sz w:val="28"/>
          <w:szCs w:val="28"/>
          <w:highlight w:val="none"/>
        </w:rPr>
        <w:instrText xml:space="preserve"> HYPERLINK \l _Toc30441 </w:instrText>
      </w:r>
      <w:r>
        <w:rPr>
          <w:rFonts w:ascii="Times New Roman" w:hAnsi="Times New Roman" w:cs="Times New Roman"/>
          <w:sz w:val="28"/>
          <w:szCs w:val="28"/>
          <w:highlight w:val="none"/>
        </w:rPr>
        <w:fldChar w:fldCharType="separate"/>
      </w:r>
      <w:r>
        <w:rPr>
          <w:rFonts w:hint="eastAsia" w:eastAsia="宋体" w:cs="Times New Roman"/>
          <w:bCs/>
          <w:kern w:val="44"/>
          <w:sz w:val="28"/>
          <w:szCs w:val="28"/>
          <w:highlight w:val="none"/>
          <w:lang w:val="en-US" w:eastAsia="zh-CN"/>
        </w:rPr>
        <w:t xml:space="preserve">第五章 </w:t>
      </w:r>
      <w:r>
        <w:rPr>
          <w:rFonts w:hint="default" w:ascii="Times New Roman" w:hAnsi="Times New Roman" w:eastAsia="宋体" w:cs="Times New Roman"/>
          <w:bCs/>
          <w:kern w:val="44"/>
          <w:sz w:val="28"/>
          <w:szCs w:val="28"/>
          <w:highlight w:val="none"/>
          <w:lang w:eastAsia="zh-CN"/>
        </w:rPr>
        <w:t>招标控制价</w:t>
      </w:r>
      <w:r>
        <w:rPr>
          <w:rFonts w:hint="default" w:ascii="Times New Roman" w:hAnsi="Times New Roman" w:eastAsia="宋体" w:cs="Times New Roman"/>
          <w:bCs/>
          <w:kern w:val="44"/>
          <w:sz w:val="28"/>
          <w:szCs w:val="28"/>
          <w:highlight w:val="none"/>
        </w:rPr>
        <w:t>清单及图纸</w:t>
      </w:r>
      <w:r>
        <w:rPr>
          <w:rFonts w:hint="default" w:ascii="Times New Roman" w:hAnsi="Times New Roman" w:eastAsia="宋体" w:cs="Times New Roman"/>
          <w:bCs/>
          <w:kern w:val="44"/>
          <w:sz w:val="28"/>
          <w:szCs w:val="28"/>
          <w:highlight w:val="none"/>
          <w:lang w:eastAsia="zh-CN"/>
        </w:rPr>
        <w:t>（</w:t>
      </w:r>
      <w:r>
        <w:rPr>
          <w:rFonts w:hint="default" w:ascii="Times New Roman" w:hAnsi="Times New Roman" w:eastAsia="宋体" w:cs="Times New Roman"/>
          <w:bCs/>
          <w:kern w:val="44"/>
          <w:sz w:val="28"/>
          <w:szCs w:val="28"/>
          <w:highlight w:val="none"/>
          <w:lang w:val="en-US" w:eastAsia="zh-CN"/>
        </w:rPr>
        <w:t>另册</w:t>
      </w:r>
      <w:r>
        <w:rPr>
          <w:rFonts w:hint="default" w:ascii="Times New Roman" w:hAnsi="Times New Roman" w:eastAsia="宋体" w:cs="Times New Roman"/>
          <w:bCs/>
          <w:kern w:val="44"/>
          <w:sz w:val="28"/>
          <w:szCs w:val="28"/>
          <w:highlight w:val="none"/>
          <w:lang w:eastAsia="zh-CN"/>
        </w:rPr>
        <w:t>）</w:t>
      </w:r>
      <w:r>
        <w:rPr>
          <w:sz w:val="28"/>
          <w:szCs w:val="28"/>
        </w:rPr>
        <w:tab/>
      </w:r>
      <w:r>
        <w:rPr>
          <w:sz w:val="28"/>
          <w:szCs w:val="28"/>
        </w:rPr>
        <w:fldChar w:fldCharType="begin"/>
      </w:r>
      <w:r>
        <w:rPr>
          <w:sz w:val="28"/>
          <w:szCs w:val="28"/>
        </w:rPr>
        <w:instrText xml:space="preserve"> PAGEREF _Toc30441 \h </w:instrText>
      </w:r>
      <w:r>
        <w:rPr>
          <w:sz w:val="28"/>
          <w:szCs w:val="28"/>
        </w:rPr>
        <w:fldChar w:fldCharType="separate"/>
      </w:r>
      <w:r>
        <w:rPr>
          <w:sz w:val="28"/>
          <w:szCs w:val="28"/>
        </w:rPr>
        <w:t>- 121 -</w:t>
      </w:r>
      <w:r>
        <w:rPr>
          <w:sz w:val="28"/>
          <w:szCs w:val="28"/>
        </w:rPr>
        <w:fldChar w:fldCharType="end"/>
      </w:r>
      <w:r>
        <w:rPr>
          <w:rFonts w:ascii="Times New Roman" w:hAnsi="Times New Roman" w:cs="Times New Roman"/>
          <w:sz w:val="28"/>
          <w:szCs w:val="28"/>
          <w:highlight w:val="none"/>
        </w:rPr>
        <w:fldChar w:fldCharType="end"/>
      </w:r>
    </w:p>
    <w:p w14:paraId="67388417">
      <w:pPr>
        <w:pStyle w:val="13"/>
        <w:tabs>
          <w:tab w:val="right" w:leader="dot" w:pos="8306"/>
          <w:tab w:val="clear" w:pos="9180"/>
        </w:tabs>
        <w:spacing w:line="480" w:lineRule="auto"/>
        <w:rPr>
          <w:sz w:val="28"/>
          <w:szCs w:val="28"/>
        </w:rPr>
      </w:pPr>
      <w:r>
        <w:rPr>
          <w:rFonts w:ascii="Times New Roman" w:hAnsi="Times New Roman" w:cs="Times New Roman"/>
          <w:sz w:val="28"/>
          <w:szCs w:val="28"/>
          <w:highlight w:val="none"/>
        </w:rPr>
        <w:fldChar w:fldCharType="begin"/>
      </w:r>
      <w:r>
        <w:rPr>
          <w:rFonts w:ascii="Times New Roman" w:hAnsi="Times New Roman" w:cs="Times New Roman"/>
          <w:sz w:val="28"/>
          <w:szCs w:val="28"/>
          <w:highlight w:val="none"/>
        </w:rPr>
        <w:instrText xml:space="preserve"> HYPERLINK \l _Toc25612 </w:instrText>
      </w:r>
      <w:r>
        <w:rPr>
          <w:rFonts w:ascii="Times New Roman" w:hAnsi="Times New Roman" w:cs="Times New Roman"/>
          <w:sz w:val="28"/>
          <w:szCs w:val="28"/>
          <w:highlight w:val="none"/>
        </w:rPr>
        <w:fldChar w:fldCharType="separate"/>
      </w:r>
      <w:r>
        <w:rPr>
          <w:rFonts w:ascii="Times New Roman" w:hAnsi="Times New Roman" w:cs="Times New Roman"/>
          <w:bCs/>
          <w:kern w:val="44"/>
          <w:sz w:val="28"/>
          <w:szCs w:val="28"/>
          <w:highlight w:val="none"/>
        </w:rPr>
        <w:t xml:space="preserve">第六章 </w:t>
      </w:r>
      <w:r>
        <w:rPr>
          <w:rFonts w:hint="eastAsia"/>
          <w:sz w:val="28"/>
          <w:szCs w:val="28"/>
          <w:highlight w:val="none"/>
        </w:rPr>
        <w:t>比选申请文件</w:t>
      </w:r>
      <w:r>
        <w:rPr>
          <w:sz w:val="28"/>
          <w:szCs w:val="28"/>
          <w:highlight w:val="none"/>
        </w:rPr>
        <w:t>格式</w:t>
      </w:r>
      <w:r>
        <w:rPr>
          <w:sz w:val="28"/>
          <w:szCs w:val="28"/>
        </w:rPr>
        <w:tab/>
      </w:r>
      <w:r>
        <w:rPr>
          <w:sz w:val="28"/>
          <w:szCs w:val="28"/>
        </w:rPr>
        <w:fldChar w:fldCharType="begin"/>
      </w:r>
      <w:r>
        <w:rPr>
          <w:sz w:val="28"/>
          <w:szCs w:val="28"/>
        </w:rPr>
        <w:instrText xml:space="preserve"> PAGEREF _Toc25612 \h </w:instrText>
      </w:r>
      <w:r>
        <w:rPr>
          <w:sz w:val="28"/>
          <w:szCs w:val="28"/>
        </w:rPr>
        <w:fldChar w:fldCharType="separate"/>
      </w:r>
      <w:r>
        <w:rPr>
          <w:sz w:val="28"/>
          <w:szCs w:val="28"/>
        </w:rPr>
        <w:t>- 122 -</w:t>
      </w:r>
      <w:r>
        <w:rPr>
          <w:sz w:val="28"/>
          <w:szCs w:val="28"/>
        </w:rPr>
        <w:fldChar w:fldCharType="end"/>
      </w:r>
      <w:r>
        <w:rPr>
          <w:rFonts w:ascii="Times New Roman" w:hAnsi="Times New Roman" w:cs="Times New Roman"/>
          <w:sz w:val="28"/>
          <w:szCs w:val="28"/>
          <w:highlight w:val="none"/>
        </w:rPr>
        <w:fldChar w:fldCharType="end"/>
      </w:r>
    </w:p>
    <w:p w14:paraId="7FFB2C30">
      <w:pPr>
        <w:pStyle w:val="13"/>
        <w:tabs>
          <w:tab w:val="right" w:leader="dot" w:pos="8306"/>
          <w:tab w:val="clear" w:pos="9180"/>
        </w:tabs>
      </w:pPr>
    </w:p>
    <w:p w14:paraId="154F5EDA">
      <w:pPr>
        <w:spacing w:line="480" w:lineRule="auto"/>
        <w:rPr>
          <w:rFonts w:ascii="Times New Roman" w:hAnsi="Times New Roman" w:cs="Times New Roman"/>
          <w:highlight w:val="none"/>
        </w:rPr>
      </w:pPr>
      <w:r>
        <w:rPr>
          <w:rFonts w:ascii="Times New Roman" w:hAnsi="Times New Roman" w:cs="Times New Roman"/>
          <w:szCs w:val="21"/>
          <w:highlight w:val="none"/>
        </w:rPr>
        <w:fldChar w:fldCharType="end"/>
      </w:r>
    </w:p>
    <w:p w14:paraId="346DCE9A">
      <w:pPr>
        <w:pStyle w:val="2"/>
        <w:jc w:val="center"/>
        <w:rPr>
          <w:color w:val="000000"/>
          <w:highlight w:val="none"/>
        </w:rPr>
        <w:sectPr>
          <w:footerReference r:id="rId6" w:type="default"/>
          <w:pgSz w:w="11906" w:h="16838"/>
          <w:pgMar w:top="1440" w:right="1800" w:bottom="1440" w:left="1800" w:header="851" w:footer="992" w:gutter="0"/>
          <w:pgNumType w:fmt="numberInDash" w:start="1"/>
          <w:cols w:space="720" w:num="1"/>
          <w:docGrid w:type="lines" w:linePitch="312" w:charSpace="0"/>
        </w:sectPr>
      </w:pPr>
    </w:p>
    <w:p w14:paraId="05E29679">
      <w:pPr>
        <w:pStyle w:val="2"/>
        <w:spacing w:line="579" w:lineRule="exact"/>
        <w:jc w:val="center"/>
        <w:rPr>
          <w:color w:val="000000"/>
          <w:highlight w:val="none"/>
        </w:rPr>
      </w:pPr>
      <w:bookmarkStart w:id="2" w:name="_Toc30226"/>
      <w:r>
        <w:rPr>
          <w:color w:val="000000"/>
          <w:highlight w:val="none"/>
        </w:rPr>
        <w:t xml:space="preserve">第一章 </w:t>
      </w:r>
      <w:r>
        <w:rPr>
          <w:rFonts w:hint="eastAsia"/>
          <w:color w:val="000000"/>
          <w:highlight w:val="none"/>
        </w:rPr>
        <w:t>比选公告</w:t>
      </w:r>
      <w:bookmarkEnd w:id="2"/>
    </w:p>
    <w:p w14:paraId="0489E0E8">
      <w:pPr>
        <w:spacing w:line="579" w:lineRule="exact"/>
        <w:jc w:val="center"/>
        <w:rPr>
          <w:rFonts w:ascii="Times New Roman" w:hAnsi="Times New Roman" w:cs="Times New Roman"/>
          <w:b/>
          <w:color w:val="000000"/>
          <w:sz w:val="30"/>
          <w:szCs w:val="30"/>
          <w:highlight w:val="none"/>
        </w:rPr>
      </w:pPr>
      <w:r>
        <w:rPr>
          <w:rFonts w:hint="eastAsia" w:ascii="Times New Roman" w:hAnsi="Times New Roman" w:cs="Times New Roman"/>
          <w:b/>
          <w:color w:val="000000"/>
          <w:sz w:val="30"/>
          <w:szCs w:val="30"/>
          <w:highlight w:val="none"/>
          <w:lang w:val="en-US" w:eastAsia="zh-CN"/>
        </w:rPr>
        <w:t>淮口服务区充（换）电站高压改迁工程</w:t>
      </w:r>
      <w:r>
        <w:rPr>
          <w:rFonts w:hint="eastAsia" w:ascii="Times New Roman" w:hAnsi="Times New Roman" w:cs="Times New Roman"/>
          <w:b/>
          <w:color w:val="000000"/>
          <w:sz w:val="30"/>
          <w:szCs w:val="30"/>
          <w:highlight w:val="none"/>
        </w:rPr>
        <w:t>比选公告</w:t>
      </w:r>
    </w:p>
    <w:p w14:paraId="1B6F1049">
      <w:pPr>
        <w:tabs>
          <w:tab w:val="left" w:pos="7140"/>
        </w:tabs>
        <w:spacing w:line="360" w:lineRule="auto"/>
        <w:outlineLvl w:val="0"/>
        <w:rPr>
          <w:rFonts w:ascii="Times New Roman" w:hAnsi="Times New Roman" w:cs="Times New Roman"/>
          <w:b/>
          <w:color w:val="000000"/>
          <w:sz w:val="28"/>
          <w:szCs w:val="28"/>
          <w:highlight w:val="none"/>
        </w:rPr>
      </w:pPr>
      <w:bookmarkStart w:id="3" w:name="_Toc27640"/>
      <w:r>
        <w:rPr>
          <w:rFonts w:ascii="Times New Roman" w:hAnsi="Times New Roman" w:cs="Times New Roman"/>
          <w:b/>
          <w:color w:val="000000"/>
          <w:sz w:val="28"/>
          <w:szCs w:val="28"/>
          <w:highlight w:val="none"/>
        </w:rPr>
        <w:t>1．</w:t>
      </w:r>
      <w:r>
        <w:rPr>
          <w:rFonts w:hint="eastAsia" w:ascii="Times New Roman" w:hAnsi="Times New Roman" w:cs="Times New Roman"/>
          <w:b/>
          <w:color w:val="000000"/>
          <w:sz w:val="28"/>
          <w:szCs w:val="28"/>
          <w:highlight w:val="none"/>
        </w:rPr>
        <w:t>比选</w:t>
      </w:r>
      <w:r>
        <w:rPr>
          <w:rFonts w:ascii="Times New Roman" w:hAnsi="Times New Roman" w:cs="Times New Roman"/>
          <w:b/>
          <w:color w:val="000000"/>
          <w:sz w:val="28"/>
          <w:szCs w:val="28"/>
          <w:highlight w:val="none"/>
        </w:rPr>
        <w:t>条件</w:t>
      </w:r>
      <w:bookmarkEnd w:id="3"/>
      <w:r>
        <w:rPr>
          <w:rFonts w:ascii="Times New Roman" w:hAnsi="Times New Roman" w:cs="Times New Roman"/>
          <w:b/>
          <w:color w:val="000000"/>
          <w:sz w:val="28"/>
          <w:szCs w:val="28"/>
          <w:highlight w:val="none"/>
        </w:rPr>
        <w:tab/>
      </w:r>
    </w:p>
    <w:p w14:paraId="1AB723F1">
      <w:pPr>
        <w:keepNext w:val="0"/>
        <w:keepLines w:val="0"/>
        <w:pageBreakBefore w:val="0"/>
        <w:widowControl/>
        <w:suppressLineNumbers w:val="0"/>
        <w:kinsoku/>
        <w:wordWrap/>
        <w:overflowPunct/>
        <w:topLinePunct w:val="0"/>
        <w:autoSpaceDE/>
        <w:autoSpaceDN/>
        <w:bidi w:val="0"/>
        <w:adjustRightInd/>
        <w:snapToGrid/>
        <w:ind w:firstLine="420" w:firstLineChars="200"/>
        <w:jc w:val="left"/>
        <w:textAlignment w:val="auto"/>
        <w:rPr>
          <w:rFonts w:hint="default" w:ascii="Calibri" w:hAnsi="Calibri" w:eastAsia="宋体" w:cs="Times New Roman"/>
          <w:b w:val="0"/>
          <w:bCs w:val="0"/>
          <w:color w:val="000000"/>
          <w:kern w:val="0"/>
          <w:sz w:val="21"/>
          <w:szCs w:val="21"/>
          <w:highlight w:val="none"/>
          <w:lang w:val="en-US" w:eastAsia="zh-CN" w:bidi="ar-SA"/>
        </w:rPr>
      </w:pPr>
      <w:r>
        <w:rPr>
          <w:rFonts w:hint="default" w:ascii="Calibri" w:hAnsi="Calibri" w:eastAsia="宋体" w:cs="Times New Roman"/>
          <w:b w:val="0"/>
          <w:bCs w:val="0"/>
          <w:color w:val="000000"/>
          <w:kern w:val="0"/>
          <w:sz w:val="21"/>
          <w:szCs w:val="21"/>
          <w:highlight w:val="none"/>
          <w:lang w:val="en-US" w:eastAsia="zh-CN" w:bidi="ar-SA"/>
        </w:rPr>
        <w:t>本</w:t>
      </w:r>
      <w:r>
        <w:rPr>
          <w:rFonts w:hint="eastAsia" w:ascii="Calibri" w:hAnsi="Calibri" w:eastAsia="宋体" w:cs="Times New Roman"/>
          <w:b w:val="0"/>
          <w:bCs w:val="0"/>
          <w:color w:val="000000"/>
          <w:kern w:val="0"/>
          <w:sz w:val="21"/>
          <w:szCs w:val="21"/>
          <w:highlight w:val="none"/>
          <w:lang w:val="en-US" w:eastAsia="zh-CN" w:bidi="ar-SA"/>
        </w:rPr>
        <w:t>项目业主</w:t>
      </w:r>
      <w:r>
        <w:rPr>
          <w:rFonts w:hint="default" w:ascii="Calibri" w:hAnsi="Calibri" w:eastAsia="宋体" w:cs="Times New Roman"/>
          <w:b w:val="0"/>
          <w:bCs w:val="0"/>
          <w:color w:val="000000"/>
          <w:kern w:val="0"/>
          <w:sz w:val="21"/>
          <w:szCs w:val="21"/>
          <w:highlight w:val="none"/>
          <w:lang w:val="en-US" w:eastAsia="zh-CN" w:bidi="ar-SA"/>
        </w:rPr>
        <w:t>为</w:t>
      </w:r>
      <w:r>
        <w:rPr>
          <w:rFonts w:hint="default" w:ascii="Calibri" w:hAnsi="Calibri" w:eastAsia="宋体" w:cs="Times New Roman"/>
          <w:b w:val="0"/>
          <w:bCs w:val="0"/>
          <w:color w:val="000000"/>
          <w:kern w:val="0"/>
          <w:sz w:val="21"/>
          <w:szCs w:val="21"/>
          <w:highlight w:val="none"/>
          <w:u w:val="single"/>
          <w:lang w:val="en-US" w:eastAsia="zh-CN" w:bidi="ar-SA"/>
        </w:rPr>
        <w:t>四川蜀道新能源科技发展有限公司</w:t>
      </w:r>
      <w:r>
        <w:rPr>
          <w:rFonts w:hint="default" w:ascii="Calibri" w:hAnsi="Calibri" w:eastAsia="宋体" w:cs="Times New Roman"/>
          <w:b w:val="0"/>
          <w:bCs w:val="0"/>
          <w:color w:val="000000"/>
          <w:kern w:val="0"/>
          <w:sz w:val="21"/>
          <w:szCs w:val="21"/>
          <w:highlight w:val="none"/>
          <w:lang w:val="en-US" w:eastAsia="zh-CN" w:bidi="ar-SA"/>
        </w:rPr>
        <w:t>，建设资金来自</w:t>
      </w:r>
      <w:r>
        <w:rPr>
          <w:rFonts w:hint="default" w:ascii="Calibri" w:hAnsi="Calibri" w:eastAsia="宋体" w:cs="Times New Roman"/>
          <w:b w:val="0"/>
          <w:bCs w:val="0"/>
          <w:color w:val="000000"/>
          <w:kern w:val="0"/>
          <w:sz w:val="21"/>
          <w:szCs w:val="21"/>
          <w:highlight w:val="none"/>
          <w:u w:val="single"/>
          <w:lang w:val="en-US" w:eastAsia="zh-CN" w:bidi="ar-SA"/>
        </w:rPr>
        <w:t>企业自筹</w:t>
      </w:r>
      <w:r>
        <w:rPr>
          <w:rFonts w:hint="default" w:ascii="Calibri" w:hAnsi="Calibri" w:eastAsia="宋体" w:cs="Times New Roman"/>
          <w:b w:val="0"/>
          <w:bCs w:val="0"/>
          <w:color w:val="000000"/>
          <w:kern w:val="0"/>
          <w:sz w:val="21"/>
          <w:szCs w:val="21"/>
          <w:highlight w:val="none"/>
          <w:lang w:val="en-US" w:eastAsia="zh-CN" w:bidi="ar-SA"/>
        </w:rPr>
        <w:t>，项目出资比例为</w:t>
      </w:r>
      <w:r>
        <w:rPr>
          <w:rFonts w:hint="default" w:ascii="Calibri" w:hAnsi="Calibri" w:eastAsia="宋体" w:cs="Times New Roman"/>
          <w:b w:val="0"/>
          <w:bCs w:val="0"/>
          <w:color w:val="000000"/>
          <w:kern w:val="0"/>
          <w:sz w:val="21"/>
          <w:szCs w:val="21"/>
          <w:highlight w:val="none"/>
          <w:u w:val="single"/>
          <w:lang w:val="en-US" w:eastAsia="zh-CN" w:bidi="ar-SA"/>
        </w:rPr>
        <w:t>100%</w:t>
      </w:r>
      <w:r>
        <w:rPr>
          <w:rFonts w:hint="default" w:ascii="Calibri" w:hAnsi="Calibri" w:eastAsia="宋体" w:cs="Times New Roman"/>
          <w:b w:val="0"/>
          <w:bCs w:val="0"/>
          <w:color w:val="000000"/>
          <w:kern w:val="0"/>
          <w:sz w:val="21"/>
          <w:szCs w:val="21"/>
          <w:highlight w:val="none"/>
          <w:lang w:val="en-US" w:eastAsia="zh-CN" w:bidi="ar-SA"/>
        </w:rPr>
        <w:t>，比选人为</w:t>
      </w:r>
      <w:r>
        <w:rPr>
          <w:rFonts w:hint="default" w:ascii="Calibri" w:hAnsi="Calibri" w:eastAsia="宋体" w:cs="Times New Roman"/>
          <w:b w:val="0"/>
          <w:bCs w:val="0"/>
          <w:color w:val="000000"/>
          <w:kern w:val="0"/>
          <w:sz w:val="21"/>
          <w:szCs w:val="21"/>
          <w:highlight w:val="none"/>
          <w:u w:val="single"/>
          <w:lang w:val="en-US" w:eastAsia="zh-CN" w:bidi="ar-SA"/>
        </w:rPr>
        <w:t>四川蜀道新能源科技发展有限公司</w:t>
      </w:r>
      <w:r>
        <w:rPr>
          <w:rFonts w:hint="default" w:ascii="Calibri" w:hAnsi="Calibri" w:eastAsia="宋体" w:cs="Times New Roman"/>
          <w:b w:val="0"/>
          <w:bCs w:val="0"/>
          <w:color w:val="000000"/>
          <w:kern w:val="0"/>
          <w:sz w:val="21"/>
          <w:szCs w:val="21"/>
          <w:highlight w:val="none"/>
          <w:lang w:val="en-US" w:eastAsia="zh-CN" w:bidi="ar-SA"/>
        </w:rPr>
        <w:t>。现已具备比选条件，现对</w:t>
      </w:r>
      <w:r>
        <w:rPr>
          <w:rFonts w:hint="eastAsia" w:ascii="Calibri" w:hAnsi="Calibri" w:eastAsia="宋体" w:cs="Times New Roman"/>
          <w:b w:val="0"/>
          <w:bCs w:val="0"/>
          <w:color w:val="000000"/>
          <w:kern w:val="0"/>
          <w:sz w:val="21"/>
          <w:szCs w:val="21"/>
          <w:highlight w:val="none"/>
          <w:lang w:val="en-US" w:eastAsia="zh-CN" w:bidi="ar-SA"/>
        </w:rPr>
        <w:t>该项目的施工</w:t>
      </w:r>
      <w:r>
        <w:rPr>
          <w:rFonts w:hint="default" w:ascii="Calibri" w:hAnsi="Calibri" w:eastAsia="宋体" w:cs="Times New Roman"/>
          <w:b w:val="0"/>
          <w:bCs w:val="0"/>
          <w:color w:val="000000"/>
          <w:kern w:val="0"/>
          <w:sz w:val="21"/>
          <w:szCs w:val="21"/>
          <w:highlight w:val="none"/>
          <w:lang w:val="en-US" w:eastAsia="zh-CN" w:bidi="ar-SA"/>
        </w:rPr>
        <w:t>进行公开比选，诚邀符合条件的潜在比选申请人参与。</w:t>
      </w:r>
    </w:p>
    <w:p w14:paraId="48A4D103">
      <w:pPr>
        <w:tabs>
          <w:tab w:val="left" w:pos="7140"/>
        </w:tabs>
        <w:spacing w:line="360" w:lineRule="auto"/>
        <w:outlineLvl w:val="0"/>
        <w:rPr>
          <w:rFonts w:ascii="Times New Roman" w:hAnsi="Times New Roman" w:cs="Times New Roman"/>
          <w:b/>
          <w:color w:val="000000"/>
          <w:sz w:val="28"/>
          <w:szCs w:val="28"/>
          <w:highlight w:val="none"/>
        </w:rPr>
      </w:pPr>
      <w:bookmarkStart w:id="4" w:name="_Toc20299"/>
      <w:r>
        <w:rPr>
          <w:rFonts w:ascii="Times New Roman" w:hAnsi="Times New Roman" w:cs="Times New Roman"/>
          <w:b/>
          <w:color w:val="000000"/>
          <w:sz w:val="28"/>
          <w:szCs w:val="28"/>
          <w:highlight w:val="none"/>
        </w:rPr>
        <w:t>2．项目概况与</w:t>
      </w:r>
      <w:r>
        <w:rPr>
          <w:rFonts w:hint="eastAsia" w:ascii="Times New Roman" w:hAnsi="Times New Roman" w:cs="Times New Roman"/>
          <w:b/>
          <w:color w:val="000000"/>
          <w:sz w:val="28"/>
          <w:szCs w:val="28"/>
          <w:highlight w:val="none"/>
        </w:rPr>
        <w:t>比选</w:t>
      </w:r>
      <w:r>
        <w:rPr>
          <w:rFonts w:ascii="Times New Roman" w:hAnsi="Times New Roman" w:cs="Times New Roman"/>
          <w:b/>
          <w:color w:val="000000"/>
          <w:sz w:val="28"/>
          <w:szCs w:val="28"/>
          <w:highlight w:val="none"/>
        </w:rPr>
        <w:t>范围</w:t>
      </w:r>
      <w:bookmarkEnd w:id="4"/>
    </w:p>
    <w:p w14:paraId="0E4921A8">
      <w:pPr>
        <w:autoSpaceDE w:val="0"/>
        <w:autoSpaceDN w:val="0"/>
        <w:adjustRightInd w:val="0"/>
        <w:spacing w:line="360" w:lineRule="auto"/>
        <w:ind w:right="-20" w:firstLine="420" w:firstLineChars="200"/>
        <w:jc w:val="both"/>
        <w:rPr>
          <w:rFonts w:hint="eastAsia" w:cs="Times New Roman"/>
          <w:b w:val="0"/>
          <w:bCs w:val="0"/>
          <w:color w:val="000000"/>
          <w:kern w:val="0"/>
          <w:sz w:val="21"/>
          <w:szCs w:val="21"/>
          <w:highlight w:val="none"/>
          <w:lang w:val="en-US" w:eastAsia="zh-CN" w:bidi="en-US"/>
        </w:rPr>
      </w:pPr>
      <w:r>
        <w:rPr>
          <w:rFonts w:ascii="Times New Roman" w:hAnsi="Times New Roman" w:cs="Times New Roman"/>
          <w:color w:val="000000"/>
          <w:kern w:val="0"/>
          <w:szCs w:val="21"/>
          <w:highlight w:val="none"/>
        </w:rPr>
        <w:t>2.1 项目名称：</w:t>
      </w:r>
      <w:r>
        <w:rPr>
          <w:rFonts w:hint="eastAsia" w:cs="Times New Roman"/>
          <w:b w:val="0"/>
          <w:bCs w:val="0"/>
          <w:color w:val="000000"/>
          <w:kern w:val="0"/>
          <w:sz w:val="21"/>
          <w:szCs w:val="21"/>
          <w:highlight w:val="none"/>
          <w:u w:val="none"/>
          <w:lang w:val="en-US" w:eastAsia="zh-CN" w:bidi="en-US"/>
        </w:rPr>
        <w:t>淮口服务区充（换）电站高压改迁工程</w:t>
      </w:r>
    </w:p>
    <w:p w14:paraId="6C8F601E">
      <w:pPr>
        <w:autoSpaceDE w:val="0"/>
        <w:autoSpaceDN w:val="0"/>
        <w:adjustRightInd w:val="0"/>
        <w:spacing w:line="360" w:lineRule="auto"/>
        <w:ind w:right="-20" w:firstLine="420" w:firstLineChars="200"/>
        <w:jc w:val="both"/>
        <w:rPr>
          <w:rFonts w:hint="default" w:ascii="Times New Roman" w:hAnsi="Times New Roman" w:eastAsia="宋体" w:cs="Times New Roman"/>
          <w:color w:val="000000"/>
          <w:szCs w:val="21"/>
          <w:highlight w:val="none"/>
          <w:lang w:val="en-US" w:eastAsia="zh-CN"/>
        </w:rPr>
      </w:pPr>
      <w:r>
        <w:rPr>
          <w:rFonts w:ascii="Times New Roman" w:hAnsi="Times New Roman" w:cs="Times New Roman"/>
          <w:color w:val="000000"/>
          <w:kern w:val="0"/>
          <w:szCs w:val="21"/>
          <w:highlight w:val="none"/>
        </w:rPr>
        <w:t>2.2 建设地点：</w:t>
      </w:r>
      <w:r>
        <w:rPr>
          <w:rFonts w:hint="eastAsia" w:cs="Times New Roman"/>
          <w:b w:val="0"/>
          <w:bCs w:val="0"/>
          <w:color w:val="000000"/>
          <w:kern w:val="0"/>
          <w:sz w:val="21"/>
          <w:szCs w:val="21"/>
          <w:highlight w:val="none"/>
          <w:lang w:val="en-US" w:eastAsia="zh-CN" w:bidi="en-US"/>
        </w:rPr>
        <w:t>沪蓉高速淮口服务区（双向）</w:t>
      </w:r>
    </w:p>
    <w:p w14:paraId="4850C79B">
      <w:pPr>
        <w:keepNext w:val="0"/>
        <w:keepLines w:val="0"/>
        <w:pageBreakBefore w:val="0"/>
        <w:numPr>
          <w:ilvl w:val="0"/>
          <w:numId w:val="0"/>
        </w:numPr>
        <w:kinsoku/>
        <w:wordWrap/>
        <w:overflowPunct/>
        <w:topLinePunct w:val="0"/>
        <w:bidi w:val="0"/>
        <w:snapToGrid/>
        <w:spacing w:line="560" w:lineRule="exact"/>
        <w:ind w:right="0" w:firstLine="420" w:firstLineChars="200"/>
        <w:jc w:val="both"/>
        <w:rPr>
          <w:rFonts w:hint="eastAsia" w:ascii="Calibri" w:hAnsi="Calibri" w:eastAsia="宋体" w:cs="Times New Roman"/>
          <w:b w:val="0"/>
          <w:bCs w:val="0"/>
          <w:color w:val="000000"/>
          <w:kern w:val="0"/>
          <w:sz w:val="21"/>
          <w:szCs w:val="21"/>
          <w:highlight w:val="none"/>
          <w:lang w:val="en-US" w:eastAsia="zh-CN" w:bidi="ar-SA"/>
        </w:rPr>
      </w:pPr>
      <w:r>
        <w:rPr>
          <w:rFonts w:ascii="Times New Roman" w:hAnsi="Times New Roman" w:cs="Times New Roman"/>
          <w:color w:val="000000"/>
          <w:kern w:val="0"/>
          <w:szCs w:val="21"/>
          <w:highlight w:val="none"/>
        </w:rPr>
        <w:t>2.3 项目规模</w:t>
      </w:r>
      <w:r>
        <w:rPr>
          <w:rFonts w:hint="eastAsia" w:ascii="Calibri" w:hAnsi="Calibri" w:eastAsia="宋体" w:cs="宋体"/>
          <w:kern w:val="2"/>
          <w:szCs w:val="22"/>
          <w:highlight w:val="none"/>
        </w:rPr>
        <w:t>：</w:t>
      </w:r>
      <w:r>
        <w:rPr>
          <w:rFonts w:hint="eastAsia" w:ascii="Calibri" w:hAnsi="Calibri" w:eastAsia="宋体" w:cs="宋体"/>
          <w:b w:val="0"/>
          <w:bCs w:val="0"/>
          <w:kern w:val="2"/>
          <w:sz w:val="21"/>
          <w:szCs w:val="22"/>
          <w:highlight w:val="none"/>
          <w:lang w:val="en-US" w:eastAsia="zh-CN" w:bidi="ar-SA"/>
        </w:rPr>
        <w:t>拟在</w:t>
      </w:r>
      <w:r>
        <w:rPr>
          <w:rFonts w:hint="eastAsia" w:cs="Times New Roman"/>
          <w:b w:val="0"/>
          <w:bCs w:val="0"/>
          <w:color w:val="000000"/>
          <w:kern w:val="0"/>
          <w:sz w:val="21"/>
          <w:szCs w:val="21"/>
          <w:highlight w:val="none"/>
          <w:lang w:val="en-US" w:eastAsia="zh-CN" w:bidi="en-US"/>
        </w:rPr>
        <w:t>沪蓉高速淮口服务区（双向）</w:t>
      </w:r>
      <w:r>
        <w:rPr>
          <w:rFonts w:hint="eastAsia" w:cs="宋体"/>
          <w:b w:val="0"/>
          <w:bCs w:val="0"/>
          <w:kern w:val="2"/>
          <w:sz w:val="21"/>
          <w:szCs w:val="22"/>
          <w:highlight w:val="none"/>
          <w:lang w:val="en-US" w:eastAsia="zh-CN" w:bidi="ar-SA"/>
        </w:rPr>
        <w:t>进行高压改迁工程</w:t>
      </w:r>
      <w:r>
        <w:rPr>
          <w:rFonts w:hint="eastAsia" w:ascii="Calibri" w:hAnsi="Calibri" w:eastAsia="宋体" w:cs="宋体"/>
          <w:sz w:val="21"/>
          <w:szCs w:val="22"/>
          <w:highlight w:val="none"/>
          <w:lang w:val="en-US" w:eastAsia="zh-CN"/>
        </w:rPr>
        <w:t>；</w:t>
      </w:r>
      <w:r>
        <w:rPr>
          <w:rFonts w:hint="eastAsia" w:cs="宋体"/>
          <w:sz w:val="21"/>
          <w:szCs w:val="22"/>
          <w:highlight w:val="none"/>
          <w:lang w:val="en-US" w:eastAsia="zh-CN"/>
        </w:rPr>
        <w:t>新敷设电缆</w:t>
      </w:r>
      <w:r>
        <w:rPr>
          <w:rFonts w:hint="eastAsia" w:ascii="Calibri" w:hAnsi="Calibri" w:eastAsia="宋体" w:cs="宋体"/>
          <w:sz w:val="21"/>
          <w:szCs w:val="22"/>
          <w:highlight w:val="none"/>
          <w:lang w:val="en-US" w:eastAsia="zh-CN"/>
        </w:rPr>
        <w:t>、</w:t>
      </w:r>
      <w:r>
        <w:rPr>
          <w:rFonts w:hint="eastAsia" w:cs="宋体"/>
          <w:sz w:val="21"/>
          <w:szCs w:val="22"/>
          <w:highlight w:val="none"/>
          <w:lang w:val="en-US" w:eastAsia="zh-CN"/>
        </w:rPr>
        <w:t>移位利旧箱变、</w:t>
      </w:r>
      <w:r>
        <w:rPr>
          <w:rFonts w:hint="eastAsia" w:ascii="Calibri" w:hAnsi="Calibri" w:eastAsia="宋体" w:cs="宋体"/>
          <w:sz w:val="21"/>
          <w:szCs w:val="22"/>
          <w:highlight w:val="none"/>
          <w:lang w:val="en-US" w:eastAsia="zh-CN"/>
        </w:rPr>
        <w:t>箱变基础、电缆井、破除并恢复绿化；新建接地网等相关设施。</w:t>
      </w:r>
    </w:p>
    <w:p w14:paraId="4979EA7F">
      <w:pPr>
        <w:numPr>
          <w:ilvl w:val="0"/>
          <w:numId w:val="0"/>
        </w:numPr>
        <w:spacing w:line="360" w:lineRule="auto"/>
        <w:ind w:right="0" w:firstLine="420" w:firstLineChars="200"/>
        <w:jc w:val="left"/>
        <w:rPr>
          <w:rFonts w:hint="eastAsia" w:cs="Times New Roman"/>
          <w:color w:val="000000"/>
          <w:kern w:val="0"/>
          <w:szCs w:val="21"/>
          <w:highlight w:val="none"/>
          <w:lang w:eastAsia="zh-CN"/>
        </w:rPr>
      </w:pPr>
      <w:r>
        <w:rPr>
          <w:rFonts w:cs="Times New Roman"/>
          <w:color w:val="000000"/>
          <w:kern w:val="0"/>
          <w:szCs w:val="21"/>
          <w:highlight w:val="none"/>
        </w:rPr>
        <w:t>2.4 比选范围</w:t>
      </w:r>
      <w:r>
        <w:rPr>
          <w:rFonts w:hint="eastAsia" w:cs="Times New Roman"/>
          <w:color w:val="000000"/>
          <w:kern w:val="0"/>
          <w:szCs w:val="21"/>
          <w:highlight w:val="none"/>
          <w:lang w:eastAsia="zh-CN"/>
        </w:rPr>
        <w:t>：</w:t>
      </w:r>
      <w:r>
        <w:rPr>
          <w:rFonts w:hint="eastAsia" w:ascii="Calibri" w:hAnsi="Calibri" w:eastAsia="宋体" w:cs="宋体"/>
          <w:b w:val="0"/>
          <w:bCs w:val="0"/>
          <w:kern w:val="2"/>
          <w:sz w:val="21"/>
          <w:szCs w:val="22"/>
          <w:highlight w:val="none"/>
          <w:lang w:val="en-US" w:eastAsia="zh-CN" w:bidi="ar-SA"/>
        </w:rPr>
        <w:t>设计施工图纸及招标控制价（施工图预算）所示以及与本项目相关的全部施工范围</w:t>
      </w:r>
      <w:r>
        <w:rPr>
          <w:rFonts w:hint="eastAsia" w:ascii="Calibri" w:hAnsi="Calibri" w:eastAsia="宋体" w:cs="宋体"/>
          <w:b w:val="0"/>
          <w:bCs w:val="0"/>
          <w:color w:val="auto"/>
          <w:kern w:val="2"/>
          <w:sz w:val="21"/>
          <w:szCs w:val="22"/>
          <w:highlight w:val="none"/>
          <w:lang w:val="en-US" w:eastAsia="zh-CN" w:bidi="ar-SA"/>
        </w:rPr>
        <w:t>。</w:t>
      </w:r>
    </w:p>
    <w:p w14:paraId="2FEAC1EF">
      <w:pPr>
        <w:spacing w:line="360" w:lineRule="auto"/>
        <w:ind w:right="-20" w:firstLine="420" w:firstLineChars="200"/>
        <w:jc w:val="both"/>
        <w:rPr>
          <w:rFonts w:ascii="Times New Roman" w:hAnsi="Times New Roman" w:cs="Times New Roman"/>
          <w:color w:val="000000"/>
          <w:kern w:val="0"/>
          <w:szCs w:val="21"/>
          <w:highlight w:val="none"/>
        </w:rPr>
      </w:pPr>
      <w:r>
        <w:rPr>
          <w:rFonts w:cs="Times New Roman"/>
          <w:color w:val="000000"/>
          <w:kern w:val="0"/>
          <w:szCs w:val="21"/>
          <w:highlight w:val="none"/>
        </w:rPr>
        <w:t>2.5 计划工期：</w:t>
      </w:r>
      <w:r>
        <w:rPr>
          <w:rFonts w:hint="default" w:ascii="Calibri" w:hAnsi="Calibri" w:cs="Times New Roman"/>
          <w:i w:val="0"/>
          <w:iCs w:val="0"/>
          <w:caps w:val="0"/>
          <w:color w:val="000000"/>
          <w:spacing w:val="0"/>
          <w:kern w:val="0"/>
          <w:sz w:val="21"/>
          <w:szCs w:val="21"/>
          <w:highlight w:val="none"/>
          <w:lang w:val="en-US" w:eastAsia="zh-CN"/>
        </w:rPr>
        <w:t>自开工通知发出之日起</w:t>
      </w:r>
      <w:r>
        <w:rPr>
          <w:rFonts w:hint="eastAsia" w:cs="Times New Roman"/>
          <w:i w:val="0"/>
          <w:iCs w:val="0"/>
          <w:caps w:val="0"/>
          <w:color w:val="000000"/>
          <w:spacing w:val="0"/>
          <w:kern w:val="0"/>
          <w:sz w:val="21"/>
          <w:szCs w:val="21"/>
          <w:highlight w:val="none"/>
          <w:lang w:val="en-US" w:eastAsia="zh-CN"/>
        </w:rPr>
        <w:t>60</w:t>
      </w:r>
      <w:r>
        <w:rPr>
          <w:rFonts w:hint="default" w:ascii="Calibri" w:hAnsi="Calibri" w:cs="Times New Roman"/>
          <w:i w:val="0"/>
          <w:iCs w:val="0"/>
          <w:caps w:val="0"/>
          <w:color w:val="000000"/>
          <w:spacing w:val="0"/>
          <w:kern w:val="0"/>
          <w:sz w:val="21"/>
          <w:szCs w:val="21"/>
          <w:highlight w:val="none"/>
          <w:lang w:val="en-US" w:eastAsia="zh-CN"/>
        </w:rPr>
        <w:t>日历天</w:t>
      </w:r>
      <w:r>
        <w:rPr>
          <w:rFonts w:hint="eastAsia" w:cs="Times New Roman"/>
          <w:i w:val="0"/>
          <w:iCs w:val="0"/>
          <w:caps w:val="0"/>
          <w:color w:val="000000"/>
          <w:spacing w:val="0"/>
          <w:kern w:val="0"/>
          <w:sz w:val="21"/>
          <w:szCs w:val="21"/>
          <w:highlight w:val="none"/>
          <w:lang w:val="en-US" w:eastAsia="zh-CN"/>
        </w:rPr>
        <w:t>完成</w:t>
      </w:r>
      <w:r>
        <w:rPr>
          <w:rFonts w:ascii="Calibri" w:hAnsi="Calibri" w:cs="Times New Roman"/>
          <w:color w:val="000000"/>
          <w:kern w:val="0"/>
          <w:sz w:val="21"/>
          <w:szCs w:val="21"/>
          <w:highlight w:val="none"/>
        </w:rPr>
        <w:t>比选范围全部内容并验收合格</w:t>
      </w:r>
      <w:r>
        <w:rPr>
          <w:rFonts w:hint="default" w:ascii="Calibri" w:hAnsi="Calibri" w:cs="Times New Roman"/>
          <w:i w:val="0"/>
          <w:iCs w:val="0"/>
          <w:caps w:val="0"/>
          <w:color w:val="000000"/>
          <w:spacing w:val="0"/>
          <w:kern w:val="0"/>
          <w:sz w:val="21"/>
          <w:szCs w:val="21"/>
          <w:highlight w:val="none"/>
          <w:lang w:val="en-US" w:eastAsia="zh-CN"/>
        </w:rPr>
        <w:t>，缺陷责任期为24个月。</w:t>
      </w:r>
    </w:p>
    <w:p w14:paraId="43967E9E">
      <w:pPr>
        <w:autoSpaceDE w:val="0"/>
        <w:autoSpaceDN w:val="0"/>
        <w:adjustRightInd w:val="0"/>
        <w:spacing w:line="360" w:lineRule="auto"/>
        <w:ind w:right="-20" w:firstLine="420" w:firstLineChars="200"/>
        <w:jc w:val="both"/>
        <w:rPr>
          <w:rFonts w:hint="eastAsia" w:ascii="Calibri" w:hAnsi="Calibri" w:eastAsia="宋体" w:cs="宋体"/>
          <w:szCs w:val="22"/>
          <w:highlight w:val="none"/>
        </w:rPr>
      </w:pPr>
      <w:r>
        <w:rPr>
          <w:rFonts w:ascii="Times New Roman" w:hAnsi="Times New Roman" w:cs="Times New Roman"/>
          <w:color w:val="000000"/>
          <w:kern w:val="0"/>
          <w:szCs w:val="21"/>
          <w:highlight w:val="none"/>
        </w:rPr>
        <w:t>2.6 质量标准：</w:t>
      </w:r>
      <w:r>
        <w:rPr>
          <w:rFonts w:hint="eastAsia"/>
          <w:highlight w:val="none"/>
        </w:rPr>
        <w:t>符合国家、省相关技术标准、设计规范和管理要求，严格执行《电动汽车充换电设施建设技术导则》 (NB/</w:t>
      </w:r>
      <w:r>
        <w:rPr>
          <w:rFonts w:hint="eastAsia"/>
          <w:highlight w:val="none"/>
          <w:lang w:eastAsia="zh-CN"/>
        </w:rPr>
        <w:t>T 33009-202</w:t>
      </w:r>
      <w:r>
        <w:rPr>
          <w:rFonts w:hint="eastAsia"/>
          <w:highlight w:val="none"/>
          <w:lang w:val="en-US" w:eastAsia="zh-CN"/>
        </w:rPr>
        <w:t>4</w:t>
      </w:r>
      <w:r>
        <w:rPr>
          <w:rFonts w:hint="eastAsia"/>
          <w:highlight w:val="none"/>
        </w:rPr>
        <w:t>) 、《电动汽车充换电设施供电系统技术规范》 (NB/T 33018-2015) 等标准的规定</w:t>
      </w:r>
      <w:r>
        <w:rPr>
          <w:rFonts w:hint="eastAsia"/>
          <w:highlight w:val="none"/>
          <w:lang w:eastAsia="zh-CN"/>
        </w:rPr>
        <w:t>；</w:t>
      </w:r>
      <w:r>
        <w:rPr>
          <w:rFonts w:hint="eastAsia"/>
          <w:highlight w:val="none"/>
        </w:rPr>
        <w:t>符合充电基础设施专项规划、消防安全、安全生产“三同时”等有关要求</w:t>
      </w:r>
      <w:r>
        <w:rPr>
          <w:rFonts w:hint="eastAsia"/>
          <w:highlight w:val="none"/>
          <w:lang w:eastAsia="zh-CN"/>
        </w:rPr>
        <w:t>；</w:t>
      </w:r>
      <w:r>
        <w:rPr>
          <w:rFonts w:ascii="Times New Roman" w:hAnsi="Times New Roman" w:cs="Times New Roman"/>
          <w:color w:val="000000"/>
          <w:szCs w:val="21"/>
          <w:highlight w:val="none"/>
        </w:rPr>
        <w:t>符合</w:t>
      </w:r>
      <w:r>
        <w:rPr>
          <w:rFonts w:hint="default" w:ascii="Times New Roman" w:hAnsi="Times New Roman" w:eastAsia="宋体" w:cs="Times New Roman"/>
          <w:color w:val="000000"/>
          <w:kern w:val="0"/>
          <w:szCs w:val="21"/>
          <w:highlight w:val="none"/>
        </w:rPr>
        <w:t>《电气装置安装工程</w:t>
      </w:r>
      <w:r>
        <w:rPr>
          <w:rFonts w:hint="default" w:ascii="Times New Roman" w:hAnsi="Times New Roman" w:eastAsia="宋体" w:cs="Times New Roman"/>
          <w:color w:val="000000"/>
          <w:kern w:val="0"/>
          <w:szCs w:val="21"/>
          <w:highlight w:val="none"/>
          <w:lang w:val="en-US" w:eastAsia="zh-CN"/>
        </w:rPr>
        <w:t>66K</w:t>
      </w:r>
      <w:r>
        <w:rPr>
          <w:rFonts w:hint="default" w:ascii="Times New Roman" w:hAnsi="Times New Roman" w:eastAsia="宋体" w:cs="Times New Roman"/>
          <w:color w:val="000000"/>
          <w:kern w:val="0"/>
          <w:szCs w:val="21"/>
          <w:highlight w:val="none"/>
        </w:rPr>
        <w:t>V及以下架空电力线路施工及验收规范</w:t>
      </w:r>
      <w:r>
        <w:rPr>
          <w:rFonts w:hint="default" w:ascii="Times New Roman" w:hAnsi="Times New Roman" w:eastAsia="宋体" w:cs="Times New Roman"/>
          <w:color w:val="000000"/>
          <w:kern w:val="0"/>
          <w:szCs w:val="21"/>
          <w:highlight w:val="none"/>
          <w:lang w:eastAsia="zh-CN"/>
        </w:rPr>
        <w:t>》</w:t>
      </w:r>
      <w:r>
        <w:rPr>
          <w:rFonts w:hint="default" w:ascii="Times New Roman" w:hAnsi="Times New Roman" w:eastAsia="宋体" w:cs="Times New Roman"/>
          <w:color w:val="000000"/>
          <w:kern w:val="0"/>
          <w:szCs w:val="21"/>
          <w:highlight w:val="none"/>
        </w:rPr>
        <w:t>(GB50173-2014)</w:t>
      </w:r>
      <w:r>
        <w:rPr>
          <w:rFonts w:hint="eastAsia" w:ascii="Times New Roman" w:hAnsi="Times New Roman" w:cs="Times New Roman"/>
          <w:color w:val="000000"/>
          <w:kern w:val="0"/>
          <w:szCs w:val="21"/>
          <w:highlight w:val="none"/>
          <w:lang w:eastAsia="zh-CN"/>
        </w:rPr>
        <w:t>、</w:t>
      </w:r>
      <w:r>
        <w:rPr>
          <w:rFonts w:hint="eastAsia"/>
          <w:highlight w:val="none"/>
        </w:rPr>
        <w:t>《电动汽车充换电设施工程施工和竣工验收规范》(NB/下 33004-2020)、《建筑电气工程施工质量验</w:t>
      </w:r>
      <w:r>
        <w:rPr>
          <w:rFonts w:hint="eastAsia" w:eastAsia="宋体" w:cs="宋体"/>
          <w:highlight w:val="none"/>
        </w:rPr>
        <w:t>收规范》 (</w:t>
      </w:r>
      <w:r>
        <w:rPr>
          <w:rFonts w:hint="eastAsia" w:cs="宋体"/>
          <w:highlight w:val="none"/>
          <w:lang w:val="en-US" w:eastAsia="zh-CN"/>
        </w:rPr>
        <w:t>G</w:t>
      </w:r>
      <w:r>
        <w:rPr>
          <w:rFonts w:hint="eastAsia" w:eastAsia="宋体" w:cs="宋体"/>
          <w:highlight w:val="none"/>
        </w:rPr>
        <w:t>B 50303) 等标准要求</w:t>
      </w:r>
      <w:r>
        <w:rPr>
          <w:rFonts w:hint="eastAsia" w:ascii="Calibri" w:hAnsi="Calibri" w:eastAsia="宋体" w:cs="宋体"/>
          <w:szCs w:val="22"/>
          <w:highlight w:val="none"/>
        </w:rPr>
        <w:t>，以及其它与本项目相关的行业现行质量验收标准，</w:t>
      </w:r>
      <w:r>
        <w:rPr>
          <w:rFonts w:hint="eastAsia" w:ascii="Calibri" w:hAnsi="Calibri" w:eastAsia="宋体" w:cs="宋体"/>
          <w:kern w:val="2"/>
          <w:szCs w:val="22"/>
          <w:highlight w:val="none"/>
        </w:rPr>
        <w:t>工程质量等级合格</w:t>
      </w:r>
      <w:r>
        <w:rPr>
          <w:rFonts w:hint="eastAsia" w:ascii="Calibri" w:hAnsi="Calibri" w:eastAsia="宋体" w:cs="宋体"/>
          <w:szCs w:val="22"/>
          <w:highlight w:val="none"/>
        </w:rPr>
        <w:t>。</w:t>
      </w:r>
    </w:p>
    <w:p w14:paraId="014B25E6">
      <w:pPr>
        <w:spacing w:line="360" w:lineRule="auto"/>
        <w:ind w:right="-20" w:firstLine="420" w:firstLineChars="200"/>
        <w:jc w:val="both"/>
        <w:rPr>
          <w:rFonts w:hint="eastAsia" w:cs="Times New Roman"/>
          <w:color w:val="000000"/>
          <w:kern w:val="0"/>
          <w:szCs w:val="21"/>
          <w:highlight w:val="none"/>
          <w:lang w:val="en-US" w:eastAsia="zh-CN"/>
        </w:rPr>
      </w:pPr>
      <w:r>
        <w:rPr>
          <w:rFonts w:hint="eastAsia" w:cs="Times New Roman"/>
          <w:color w:val="000000"/>
          <w:kern w:val="0"/>
          <w:szCs w:val="21"/>
          <w:highlight w:val="none"/>
          <w:lang w:val="en-US" w:eastAsia="zh-CN"/>
        </w:rPr>
        <w:t>2.7主要工作内容</w:t>
      </w:r>
    </w:p>
    <w:p w14:paraId="605081C3">
      <w:pPr>
        <w:spacing w:line="360" w:lineRule="auto"/>
        <w:ind w:right="0" w:firstLine="420" w:firstLineChars="200"/>
        <w:jc w:val="both"/>
        <w:rPr>
          <w:rFonts w:hint="eastAsia" w:ascii="Calibri" w:hAnsi="Calibri" w:eastAsia="宋体" w:cs="Times New Roman"/>
          <w:b w:val="0"/>
          <w:bCs w:val="0"/>
          <w:color w:val="000000"/>
          <w:kern w:val="0"/>
          <w:sz w:val="21"/>
          <w:szCs w:val="21"/>
          <w:highlight w:val="none"/>
          <w:lang w:val="en-US" w:eastAsia="zh-CN" w:bidi="ar-SA"/>
        </w:rPr>
      </w:pPr>
      <w:r>
        <w:rPr>
          <w:rFonts w:hint="eastAsia" w:ascii="Calibri" w:hAnsi="Calibri" w:eastAsia="宋体" w:cs="Times New Roman"/>
          <w:b w:val="0"/>
          <w:bCs w:val="0"/>
          <w:color w:val="000000"/>
          <w:kern w:val="0"/>
          <w:sz w:val="21"/>
          <w:szCs w:val="21"/>
          <w:highlight w:val="none"/>
          <w:lang w:val="en-US" w:eastAsia="zh-CN" w:bidi="ar-SA"/>
        </w:rPr>
        <w:t>（1）包括但不限于</w:t>
      </w:r>
      <w:r>
        <w:rPr>
          <w:rFonts w:hint="eastAsia" w:ascii="Calibri" w:hAnsi="Calibri" w:eastAsia="宋体" w:cs="Times New Roman"/>
          <w:color w:val="000000"/>
          <w:kern w:val="0"/>
          <w:szCs w:val="21"/>
          <w:highlight w:val="none"/>
          <w:u w:val="none"/>
          <w:lang w:val="en-US" w:eastAsia="zh-CN"/>
        </w:rPr>
        <w:t>电气部分新敷设电缆、新建一二次融合开关、移位利旧箱变、利旧原隔离开关、避雷器等；土建部分新建电缆直埋通电、电缆直线井、转角井，箱变基础等；拆除部分：拆除原有电缆和电缆基座</w:t>
      </w:r>
      <w:r>
        <w:rPr>
          <w:rFonts w:hint="eastAsia" w:cs="Times New Roman"/>
          <w:color w:val="000000"/>
          <w:kern w:val="0"/>
          <w:szCs w:val="21"/>
          <w:highlight w:val="none"/>
          <w:u w:val="none"/>
          <w:lang w:val="en-US" w:eastAsia="zh-CN"/>
        </w:rPr>
        <w:t>等；</w:t>
      </w:r>
      <w:r>
        <w:rPr>
          <w:rFonts w:hint="eastAsia" w:ascii="Calibri" w:hAnsi="Calibri" w:eastAsia="宋体" w:cs="Times New Roman"/>
          <w:b w:val="0"/>
          <w:bCs w:val="0"/>
          <w:color w:val="000000"/>
          <w:kern w:val="0"/>
          <w:sz w:val="21"/>
          <w:szCs w:val="21"/>
          <w:highlight w:val="none"/>
          <w:lang w:val="en-US" w:eastAsia="zh-CN" w:bidi="ar-SA"/>
        </w:rPr>
        <w:t>电气调试、报验（供电局）等以及为保证充电站按期建设和投营使用所需一切设施设备建设及手续办理、协调、后续服务等。</w:t>
      </w:r>
    </w:p>
    <w:p w14:paraId="7DBA1F73">
      <w:pPr>
        <w:spacing w:line="360" w:lineRule="auto"/>
        <w:ind w:right="0" w:firstLine="420" w:firstLineChars="200"/>
        <w:jc w:val="both"/>
        <w:rPr>
          <w:rFonts w:hint="eastAsia" w:ascii="Calibri" w:hAnsi="Calibri" w:eastAsia="宋体" w:cs="Times New Roman"/>
          <w:b w:val="0"/>
          <w:bCs w:val="0"/>
          <w:color w:val="000000"/>
          <w:kern w:val="0"/>
          <w:sz w:val="21"/>
          <w:szCs w:val="21"/>
          <w:highlight w:val="none"/>
          <w:lang w:val="en-US" w:eastAsia="zh-CN" w:bidi="ar-SA"/>
        </w:rPr>
      </w:pPr>
      <w:r>
        <w:rPr>
          <w:rFonts w:hint="eastAsia" w:ascii="Calibri" w:hAnsi="Calibri" w:eastAsia="宋体" w:cs="Times New Roman"/>
          <w:b w:val="0"/>
          <w:bCs w:val="0"/>
          <w:color w:val="000000"/>
          <w:kern w:val="0"/>
          <w:sz w:val="21"/>
          <w:szCs w:val="21"/>
          <w:highlight w:val="none"/>
          <w:lang w:val="en-US" w:eastAsia="zh-CN" w:bidi="ar-SA"/>
        </w:rPr>
        <w:t>（2）须在施工现场安装适当的监控设备，以实时监测施工活动。该系统应涵盖整个施工现场，并保证监控画面的清晰度和稳定性。同时，监控系统要能够存储录像和图片等相关数据备份，并将施工监控接入比选人监控系统以备后续检查和调查需要。</w:t>
      </w:r>
    </w:p>
    <w:p w14:paraId="4D67CB94">
      <w:pPr>
        <w:spacing w:line="360" w:lineRule="auto"/>
        <w:ind w:right="0" w:firstLine="420" w:firstLineChars="200"/>
        <w:jc w:val="both"/>
        <w:rPr>
          <w:rFonts w:hint="eastAsia" w:ascii="Calibri" w:hAnsi="Calibri" w:eastAsia="宋体" w:cs="Times New Roman"/>
          <w:b w:val="0"/>
          <w:bCs w:val="0"/>
          <w:color w:val="000000"/>
          <w:kern w:val="0"/>
          <w:sz w:val="21"/>
          <w:szCs w:val="21"/>
          <w:highlight w:val="none"/>
          <w:lang w:val="en-US" w:eastAsia="zh-CN" w:bidi="ar-SA"/>
        </w:rPr>
      </w:pPr>
      <w:r>
        <w:rPr>
          <w:rFonts w:hint="eastAsia" w:ascii="Calibri" w:hAnsi="Calibri" w:eastAsia="宋体" w:cs="Times New Roman"/>
          <w:b w:val="0"/>
          <w:bCs w:val="0"/>
          <w:color w:val="000000"/>
          <w:kern w:val="0"/>
          <w:sz w:val="21"/>
          <w:szCs w:val="21"/>
          <w:highlight w:val="none"/>
          <w:lang w:val="en-US" w:eastAsia="zh-CN" w:bidi="ar-SA"/>
        </w:rPr>
        <w:t>（3）须负责承担施工沿线涉及的征地、青苗占用以及本项目施工过程中所发生的各种协调、附属工作直至项目最终验收合格并通电投营；</w:t>
      </w:r>
    </w:p>
    <w:p w14:paraId="52BA7D26">
      <w:pPr>
        <w:spacing w:line="360" w:lineRule="auto"/>
        <w:ind w:right="0" w:firstLine="420" w:firstLineChars="200"/>
        <w:jc w:val="both"/>
        <w:rPr>
          <w:rFonts w:hint="eastAsia" w:ascii="Calibri" w:hAnsi="Calibri" w:eastAsia="宋体" w:cs="Times New Roman"/>
          <w:b w:val="0"/>
          <w:bCs w:val="0"/>
          <w:color w:val="000000"/>
          <w:kern w:val="0"/>
          <w:sz w:val="21"/>
          <w:szCs w:val="21"/>
          <w:highlight w:val="none"/>
          <w:lang w:val="en-US" w:eastAsia="zh-CN" w:bidi="ar-SA"/>
        </w:rPr>
      </w:pPr>
      <w:r>
        <w:rPr>
          <w:rFonts w:hint="eastAsia" w:ascii="Calibri" w:hAnsi="Calibri" w:eastAsia="宋体" w:cs="Times New Roman"/>
          <w:b w:val="0"/>
          <w:bCs w:val="0"/>
          <w:color w:val="000000"/>
          <w:kern w:val="0"/>
          <w:sz w:val="21"/>
          <w:szCs w:val="21"/>
          <w:highlight w:val="none"/>
          <w:lang w:val="en-US" w:eastAsia="zh-CN" w:bidi="ar-SA"/>
        </w:rPr>
        <w:t>（4）合理配置无功补偿模块，补偿后确保功率因数达到0.95及以上，若功率因数不达标，由此产生的力调电费由比选申请人承担。</w:t>
      </w:r>
    </w:p>
    <w:p w14:paraId="3B20A3C9">
      <w:pPr>
        <w:spacing w:line="360" w:lineRule="auto"/>
        <w:outlineLvl w:val="0"/>
        <w:rPr>
          <w:rFonts w:ascii="Times New Roman" w:hAnsi="Times New Roman" w:cs="Times New Roman"/>
          <w:color w:val="000000"/>
          <w:sz w:val="28"/>
          <w:szCs w:val="28"/>
          <w:highlight w:val="none"/>
        </w:rPr>
      </w:pPr>
      <w:bookmarkStart w:id="5" w:name="_Toc1457"/>
      <w:r>
        <w:rPr>
          <w:rFonts w:ascii="Times New Roman" w:hAnsi="Times New Roman" w:cs="Times New Roman"/>
          <w:b/>
          <w:color w:val="000000"/>
          <w:sz w:val="28"/>
          <w:szCs w:val="28"/>
          <w:highlight w:val="none"/>
        </w:rPr>
        <w:t>3．</w:t>
      </w:r>
      <w:r>
        <w:rPr>
          <w:rFonts w:hint="eastAsia" w:ascii="Times New Roman" w:hAnsi="Times New Roman" w:cs="Times New Roman"/>
          <w:b/>
          <w:color w:val="000000"/>
          <w:sz w:val="28"/>
          <w:szCs w:val="28"/>
          <w:highlight w:val="none"/>
        </w:rPr>
        <w:t>比选申请人</w:t>
      </w:r>
      <w:r>
        <w:rPr>
          <w:rFonts w:ascii="Times New Roman" w:hAnsi="Times New Roman" w:cs="Times New Roman"/>
          <w:b/>
          <w:color w:val="000000"/>
          <w:sz w:val="28"/>
          <w:szCs w:val="28"/>
          <w:highlight w:val="none"/>
        </w:rPr>
        <w:t>资格要求</w:t>
      </w:r>
      <w:bookmarkEnd w:id="5"/>
    </w:p>
    <w:p w14:paraId="31A6E357">
      <w:pPr>
        <w:spacing w:line="360" w:lineRule="auto"/>
        <w:ind w:firstLine="420" w:firstLineChars="200"/>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本次</w:t>
      </w:r>
      <w:r>
        <w:rPr>
          <w:rFonts w:hint="default" w:ascii="Times New Roman" w:hAnsi="Times New Roman" w:cs="Times New Roman"/>
          <w:color w:val="000000"/>
          <w:kern w:val="0"/>
          <w:szCs w:val="21"/>
          <w:highlight w:val="none"/>
        </w:rPr>
        <w:t>比选</w:t>
      </w:r>
      <w:r>
        <w:rPr>
          <w:rFonts w:ascii="Times New Roman" w:hAnsi="Times New Roman" w:cs="Times New Roman"/>
          <w:color w:val="000000"/>
          <w:kern w:val="0"/>
          <w:szCs w:val="21"/>
          <w:highlight w:val="none"/>
        </w:rPr>
        <w:t>要求</w:t>
      </w:r>
      <w:r>
        <w:rPr>
          <w:rFonts w:hint="default" w:ascii="Times New Roman" w:hAnsi="Times New Roman" w:cs="Times New Roman"/>
          <w:color w:val="000000"/>
          <w:kern w:val="0"/>
          <w:szCs w:val="21"/>
          <w:highlight w:val="none"/>
        </w:rPr>
        <w:t>比选申请人</w:t>
      </w:r>
      <w:r>
        <w:rPr>
          <w:rFonts w:ascii="Times New Roman" w:hAnsi="Times New Roman" w:cs="Times New Roman"/>
          <w:color w:val="000000"/>
          <w:kern w:val="0"/>
          <w:szCs w:val="21"/>
          <w:highlight w:val="none"/>
        </w:rPr>
        <w:t>具有：</w:t>
      </w:r>
    </w:p>
    <w:p w14:paraId="19DD2DC1">
      <w:pPr>
        <w:spacing w:line="360" w:lineRule="auto"/>
        <w:ind w:firstLine="420" w:firstLineChars="200"/>
        <w:rPr>
          <w:rFonts w:hint="eastAsia" w:ascii="Times New Roman" w:hAnsi="Times New Roman" w:eastAsia="宋体" w:cs="Times New Roman"/>
          <w:color w:val="000000"/>
          <w:kern w:val="0"/>
          <w:szCs w:val="21"/>
          <w:highlight w:val="none"/>
          <w:lang w:val="en-US" w:eastAsia="zh-CN"/>
        </w:rPr>
      </w:pPr>
      <w:r>
        <w:rPr>
          <w:rFonts w:ascii="Times New Roman" w:hAnsi="Times New Roman" w:cs="Times New Roman"/>
          <w:color w:val="000000"/>
          <w:kern w:val="0"/>
          <w:szCs w:val="21"/>
          <w:highlight w:val="none"/>
        </w:rPr>
        <w:t xml:space="preserve">3.1 </w:t>
      </w:r>
      <w:r>
        <w:rPr>
          <w:rFonts w:hint="eastAsia" w:ascii="Times New Roman" w:hAnsi="Times New Roman" w:cs="Times New Roman"/>
          <w:color w:val="000000"/>
          <w:kern w:val="0"/>
          <w:szCs w:val="21"/>
          <w:highlight w:val="none"/>
          <w:lang w:val="en-US" w:eastAsia="zh-CN"/>
        </w:rPr>
        <w:t>基本要求</w:t>
      </w:r>
    </w:p>
    <w:p w14:paraId="78D63819">
      <w:pPr>
        <w:spacing w:line="360" w:lineRule="auto"/>
        <w:ind w:firstLine="420" w:firstLineChars="200"/>
        <w:rPr>
          <w:rFonts w:ascii="Times New Roman" w:hAnsi="Times New Roman" w:cs="Times New Roman"/>
          <w:color w:val="000000"/>
          <w:kern w:val="0"/>
          <w:szCs w:val="21"/>
          <w:highlight w:val="none"/>
        </w:rPr>
      </w:pPr>
      <w:r>
        <w:rPr>
          <w:rFonts w:hint="eastAsia" w:ascii="Times New Roman" w:hAnsi="Times New Roman" w:cs="Times New Roman"/>
          <w:color w:val="000000"/>
          <w:kern w:val="0"/>
          <w:szCs w:val="21"/>
          <w:highlight w:val="none"/>
        </w:rPr>
        <w:t>具有独立法人资格，持有有效营业执照、基本账户开户许可证或基本存款账户信息（基本账户开户行出具）。</w:t>
      </w:r>
    </w:p>
    <w:p w14:paraId="1BDEB327">
      <w:pPr>
        <w:spacing w:line="360" w:lineRule="auto"/>
        <w:ind w:firstLine="420"/>
        <w:rPr>
          <w:rFonts w:hint="default" w:ascii="Times New Roman" w:hAnsi="Times New Roman" w:eastAsia="宋体" w:cs="Times New Roman"/>
          <w:i w:val="0"/>
          <w:iCs w:val="0"/>
          <w:caps w:val="0"/>
          <w:color w:val="000000"/>
          <w:spacing w:val="0"/>
          <w:kern w:val="0"/>
          <w:sz w:val="21"/>
          <w:szCs w:val="21"/>
          <w:highlight w:val="none"/>
          <w:lang w:val="en-US" w:eastAsia="zh-CN"/>
        </w:rPr>
      </w:pPr>
      <w:r>
        <w:rPr>
          <w:rFonts w:hint="default" w:ascii="Times New Roman" w:hAnsi="Times New Roman" w:cs="Times New Roman"/>
          <w:i w:val="0"/>
          <w:iCs w:val="0"/>
          <w:caps w:val="0"/>
          <w:color w:val="000000"/>
          <w:spacing w:val="0"/>
          <w:kern w:val="0"/>
          <w:sz w:val="21"/>
          <w:szCs w:val="21"/>
          <w:highlight w:val="none"/>
          <w:lang w:val="en-US" w:eastAsia="zh-CN"/>
        </w:rPr>
        <w:t>3.1.1</w:t>
      </w:r>
      <w:r>
        <w:rPr>
          <w:rFonts w:hint="default" w:ascii="Times New Roman" w:hAnsi="Times New Roman" w:eastAsia="宋体" w:cs="Times New Roman"/>
          <w:i w:val="0"/>
          <w:iCs w:val="0"/>
          <w:caps w:val="0"/>
          <w:color w:val="000000"/>
          <w:spacing w:val="0"/>
          <w:kern w:val="0"/>
          <w:sz w:val="21"/>
          <w:szCs w:val="21"/>
          <w:highlight w:val="none"/>
          <w:lang w:val="en-US" w:eastAsia="zh-CN"/>
        </w:rPr>
        <w:t>资质要求</w:t>
      </w:r>
    </w:p>
    <w:p w14:paraId="2EEEC350">
      <w:pPr>
        <w:spacing w:line="360" w:lineRule="auto"/>
        <w:ind w:firstLine="420"/>
        <w:rPr>
          <w:rFonts w:hint="default" w:ascii="Times New Roman" w:hAnsi="Times New Roman" w:eastAsia="宋体" w:cs="Times New Roman"/>
          <w:i w:val="0"/>
          <w:iCs w:val="0"/>
          <w:caps w:val="0"/>
          <w:color w:val="000000"/>
          <w:spacing w:val="0"/>
          <w:kern w:val="0"/>
          <w:sz w:val="21"/>
          <w:szCs w:val="21"/>
          <w:highlight w:val="none"/>
          <w:lang w:val="en-US" w:eastAsia="zh-CN"/>
        </w:rPr>
      </w:pPr>
      <w:r>
        <w:rPr>
          <w:rFonts w:hint="default" w:ascii="Times New Roman" w:hAnsi="Times New Roman" w:cs="Times New Roman"/>
          <w:i w:val="0"/>
          <w:iCs w:val="0"/>
          <w:caps w:val="0"/>
          <w:color w:val="000000"/>
          <w:spacing w:val="0"/>
          <w:kern w:val="0"/>
          <w:sz w:val="21"/>
          <w:szCs w:val="21"/>
          <w:highlight w:val="none"/>
          <w:lang w:val="en-US" w:eastAsia="zh-CN"/>
        </w:rPr>
        <w:t>比选申请人须持有有效营业执照、</w:t>
      </w:r>
      <w:r>
        <w:rPr>
          <w:rFonts w:hint="default" w:ascii="Times New Roman" w:hAnsi="Times New Roman" w:eastAsia="宋体" w:cs="Times New Roman"/>
          <w:i w:val="0"/>
          <w:iCs w:val="0"/>
          <w:caps w:val="0"/>
          <w:color w:val="000000"/>
          <w:spacing w:val="0"/>
          <w:kern w:val="0"/>
          <w:sz w:val="21"/>
          <w:szCs w:val="21"/>
          <w:highlight w:val="none"/>
          <w:lang w:val="en-US" w:eastAsia="zh-CN"/>
        </w:rPr>
        <w:t>具备有效的安全生产许可证</w:t>
      </w:r>
      <w:r>
        <w:rPr>
          <w:rFonts w:hint="default" w:ascii="Times New Roman" w:hAnsi="Times New Roman" w:cs="Times New Roman"/>
          <w:i w:val="0"/>
          <w:iCs w:val="0"/>
          <w:caps w:val="0"/>
          <w:color w:val="000000"/>
          <w:spacing w:val="0"/>
          <w:kern w:val="0"/>
          <w:sz w:val="21"/>
          <w:szCs w:val="21"/>
          <w:highlight w:val="none"/>
          <w:lang w:val="en-US" w:eastAsia="zh-CN"/>
        </w:rPr>
        <w:t>并</w:t>
      </w:r>
      <w:r>
        <w:rPr>
          <w:rFonts w:hint="default" w:ascii="Times New Roman" w:hAnsi="Times New Roman" w:eastAsia="宋体" w:cs="Times New Roman"/>
          <w:i w:val="0"/>
          <w:iCs w:val="0"/>
          <w:caps w:val="0"/>
          <w:color w:val="000000"/>
          <w:spacing w:val="0"/>
          <w:kern w:val="0"/>
          <w:sz w:val="21"/>
          <w:szCs w:val="21"/>
          <w:highlight w:val="none"/>
          <w:lang w:val="en-US" w:eastAsia="zh-CN"/>
        </w:rPr>
        <w:t>至少满足以下任意一项：</w:t>
      </w:r>
    </w:p>
    <w:p w14:paraId="66A62289">
      <w:pPr>
        <w:spacing w:line="360" w:lineRule="auto"/>
        <w:ind w:firstLine="420"/>
        <w:jc w:val="left"/>
        <w:rPr>
          <w:rFonts w:hint="default" w:ascii="Times New Roman" w:hAnsi="Times New Roman" w:eastAsia="宋体" w:cs="Times New Roman"/>
          <w:i w:val="0"/>
          <w:iCs w:val="0"/>
          <w:caps w:val="0"/>
          <w:color w:val="000000"/>
          <w:spacing w:val="0"/>
          <w:kern w:val="0"/>
          <w:sz w:val="21"/>
          <w:szCs w:val="21"/>
          <w:highlight w:val="none"/>
          <w:lang w:val="en-US" w:eastAsia="zh-CN"/>
        </w:rPr>
      </w:pPr>
      <w:r>
        <w:rPr>
          <w:rFonts w:hint="eastAsia" w:ascii="Times New Roman" w:hAnsi="Times New Roman" w:cs="Times New Roman"/>
          <w:i w:val="0"/>
          <w:iCs w:val="0"/>
          <w:caps w:val="0"/>
          <w:color w:val="000000"/>
          <w:spacing w:val="0"/>
          <w:kern w:val="0"/>
          <w:sz w:val="21"/>
          <w:szCs w:val="21"/>
          <w:highlight w:val="none"/>
          <w:lang w:val="en-US" w:eastAsia="zh-CN"/>
        </w:rPr>
        <w:t>（1）</w:t>
      </w:r>
      <w:r>
        <w:rPr>
          <w:rFonts w:hint="default" w:ascii="Times New Roman" w:hAnsi="Times New Roman" w:eastAsia="宋体" w:cs="Times New Roman"/>
          <w:color w:val="000000"/>
          <w:kern w:val="0"/>
          <w:sz w:val="21"/>
          <w:szCs w:val="21"/>
          <w:highlight w:val="none"/>
        </w:rPr>
        <w:t>住房和城乡建设主管部门颁发的电力工程施工总承包资质</w:t>
      </w:r>
      <w:r>
        <w:rPr>
          <w:rFonts w:hint="default" w:ascii="Times New Roman" w:hAnsi="Times New Roman" w:eastAsia="宋体" w:cs="Times New Roman"/>
          <w:color w:val="000000"/>
          <w:kern w:val="0"/>
          <w:sz w:val="21"/>
          <w:szCs w:val="21"/>
          <w:highlight w:val="none"/>
          <w:u w:val="none"/>
        </w:rPr>
        <w:t>三</w:t>
      </w:r>
      <w:r>
        <w:rPr>
          <w:rFonts w:hint="default" w:ascii="Times New Roman" w:hAnsi="Times New Roman" w:eastAsia="宋体" w:cs="Times New Roman"/>
          <w:color w:val="000000"/>
          <w:kern w:val="0"/>
          <w:sz w:val="21"/>
          <w:szCs w:val="21"/>
          <w:highlight w:val="none"/>
        </w:rPr>
        <w:t>级及以上，同时具有国家能源局派出机构颁发的承装（修、试）电力设施许可证</w:t>
      </w:r>
      <w:r>
        <w:rPr>
          <w:rFonts w:hint="default" w:ascii="Times New Roman" w:hAnsi="Times New Roman" w:eastAsia="宋体" w:cs="Times New Roman"/>
          <w:color w:val="000000"/>
          <w:kern w:val="0"/>
          <w:sz w:val="21"/>
          <w:szCs w:val="21"/>
          <w:highlight w:val="none"/>
          <w:u w:val="none"/>
        </w:rPr>
        <w:t>三</w:t>
      </w:r>
      <w:r>
        <w:rPr>
          <w:rFonts w:hint="default" w:ascii="Times New Roman" w:hAnsi="Times New Roman" w:eastAsia="宋体" w:cs="Times New Roman"/>
          <w:color w:val="000000"/>
          <w:kern w:val="0"/>
          <w:sz w:val="21"/>
          <w:szCs w:val="21"/>
          <w:highlight w:val="none"/>
        </w:rPr>
        <w:t xml:space="preserve">级及以上； </w:t>
      </w:r>
    </w:p>
    <w:p w14:paraId="1BDEFA8B">
      <w:pPr>
        <w:spacing w:line="360" w:lineRule="auto"/>
        <w:ind w:firstLine="420" w:firstLineChars="0"/>
        <w:jc w:val="left"/>
        <w:rPr>
          <w:rFonts w:hint="eastAsia" w:ascii="Times New Roman" w:hAnsi="Times New Roman" w:eastAsia="仿宋_GB2312" w:cs="Times New Roman"/>
          <w:kern w:val="2"/>
          <w:sz w:val="32"/>
          <w:szCs w:val="32"/>
          <w:highlight w:val="none"/>
        </w:rPr>
      </w:pPr>
      <w:r>
        <w:rPr>
          <w:rFonts w:hint="eastAsia" w:ascii="Times New Roman" w:hAnsi="Times New Roman" w:cs="Times New Roman"/>
          <w:i w:val="0"/>
          <w:iCs w:val="0"/>
          <w:caps w:val="0"/>
          <w:color w:val="000000"/>
          <w:spacing w:val="0"/>
          <w:kern w:val="0"/>
          <w:sz w:val="21"/>
          <w:szCs w:val="21"/>
          <w:highlight w:val="none"/>
          <w:lang w:val="en-US" w:eastAsia="zh-CN"/>
        </w:rPr>
        <w:t>（2）</w:t>
      </w:r>
      <w:r>
        <w:rPr>
          <w:rFonts w:hint="default" w:ascii="Times New Roman" w:hAnsi="Times New Roman" w:eastAsia="宋体" w:cs="Times New Roman"/>
          <w:color w:val="000000"/>
          <w:kern w:val="0"/>
          <w:sz w:val="21"/>
          <w:szCs w:val="21"/>
          <w:highlight w:val="none"/>
        </w:rPr>
        <w:t>住房和城乡建设主管部门颁发的建筑机电安装工程专业承包资质</w:t>
      </w:r>
      <w:r>
        <w:rPr>
          <w:rFonts w:hint="default" w:ascii="Times New Roman" w:hAnsi="Times New Roman" w:eastAsia="宋体" w:cs="Times New Roman"/>
          <w:color w:val="000000"/>
          <w:kern w:val="0"/>
          <w:sz w:val="21"/>
          <w:szCs w:val="21"/>
          <w:highlight w:val="none"/>
          <w:u w:val="none"/>
        </w:rPr>
        <w:t>二</w:t>
      </w:r>
      <w:r>
        <w:rPr>
          <w:rFonts w:hint="default" w:ascii="Times New Roman" w:hAnsi="Times New Roman" w:eastAsia="宋体" w:cs="Times New Roman"/>
          <w:color w:val="000000"/>
          <w:kern w:val="0"/>
          <w:sz w:val="21"/>
          <w:szCs w:val="21"/>
          <w:highlight w:val="none"/>
        </w:rPr>
        <w:t>级及以上，同时具有国家能源局派出机构颁发的承装（修、试）电力设施许可证</w:t>
      </w:r>
      <w:r>
        <w:rPr>
          <w:rFonts w:hint="default" w:ascii="Times New Roman" w:hAnsi="Times New Roman" w:eastAsia="宋体" w:cs="Times New Roman"/>
          <w:color w:val="000000"/>
          <w:kern w:val="0"/>
          <w:sz w:val="21"/>
          <w:szCs w:val="21"/>
          <w:highlight w:val="none"/>
          <w:u w:val="none"/>
        </w:rPr>
        <w:t>三</w:t>
      </w:r>
      <w:r>
        <w:rPr>
          <w:rFonts w:hint="default" w:ascii="Times New Roman" w:hAnsi="Times New Roman" w:eastAsia="宋体" w:cs="Times New Roman"/>
          <w:color w:val="000000"/>
          <w:kern w:val="0"/>
          <w:sz w:val="21"/>
          <w:szCs w:val="21"/>
          <w:highlight w:val="none"/>
        </w:rPr>
        <w:t>级及以上。</w:t>
      </w:r>
    </w:p>
    <w:p w14:paraId="5D2424D2">
      <w:pPr>
        <w:spacing w:line="360" w:lineRule="auto"/>
        <w:ind w:firstLine="420"/>
        <w:rPr>
          <w:rFonts w:hint="default" w:ascii="Times New Roman" w:hAnsi="Times New Roman" w:cs="Times New Roman"/>
          <w:i w:val="0"/>
          <w:iCs w:val="0"/>
          <w:caps w:val="0"/>
          <w:color w:val="000000"/>
          <w:spacing w:val="0"/>
          <w:kern w:val="0"/>
          <w:sz w:val="21"/>
          <w:szCs w:val="21"/>
          <w:highlight w:val="none"/>
          <w:lang w:val="en-US" w:eastAsia="zh-CN"/>
        </w:rPr>
      </w:pPr>
      <w:r>
        <w:rPr>
          <w:rFonts w:hint="default" w:ascii="Times New Roman" w:hAnsi="Times New Roman" w:cs="Times New Roman"/>
          <w:i w:val="0"/>
          <w:iCs w:val="0"/>
          <w:caps w:val="0"/>
          <w:color w:val="000000"/>
          <w:spacing w:val="0"/>
          <w:kern w:val="0"/>
          <w:sz w:val="21"/>
          <w:szCs w:val="21"/>
          <w:highlight w:val="none"/>
          <w:lang w:val="en-US" w:eastAsia="zh-CN"/>
        </w:rPr>
        <w:t>3.1.2业绩要求</w:t>
      </w:r>
    </w:p>
    <w:p w14:paraId="162ABAAD">
      <w:pPr>
        <w:spacing w:line="360" w:lineRule="auto"/>
        <w:ind w:firstLine="420"/>
        <w:rPr>
          <w:rFonts w:hint="default" w:ascii="Times New Roman" w:hAnsi="Times New Roman" w:cs="Times New Roman"/>
          <w:i w:val="0"/>
          <w:iCs w:val="0"/>
          <w:caps w:val="0"/>
          <w:color w:val="000000"/>
          <w:spacing w:val="0"/>
          <w:kern w:val="0"/>
          <w:sz w:val="21"/>
          <w:szCs w:val="21"/>
          <w:highlight w:val="none"/>
          <w:lang w:val="en-US" w:eastAsia="zh-CN"/>
        </w:rPr>
      </w:pPr>
      <w:r>
        <w:rPr>
          <w:rFonts w:hint="default" w:ascii="Times New Roman" w:hAnsi="Times New Roman" w:cs="Times New Roman"/>
          <w:i w:val="0"/>
          <w:iCs w:val="0"/>
          <w:caps w:val="0"/>
          <w:color w:val="000000"/>
          <w:spacing w:val="0"/>
          <w:kern w:val="0"/>
          <w:sz w:val="21"/>
          <w:szCs w:val="21"/>
          <w:highlight w:val="none"/>
          <w:lang w:val="en-US" w:eastAsia="zh-CN"/>
        </w:rPr>
        <w:t>近3年（2023年1月1日以来，以合同签订时间为准）独立承担完成过1个类似项目业绩，类似项目业绩是指在建或已完的充电站工程施工业绩。</w:t>
      </w:r>
    </w:p>
    <w:p w14:paraId="37E381AE">
      <w:pPr>
        <w:spacing w:line="360" w:lineRule="auto"/>
        <w:ind w:firstLine="420"/>
        <w:rPr>
          <w:rFonts w:hint="eastAsia" w:ascii="Times New Roman" w:hAnsi="Times New Roman" w:cs="Times New Roman"/>
          <w:i w:val="0"/>
          <w:iCs w:val="0"/>
          <w:caps w:val="0"/>
          <w:color w:val="000000"/>
          <w:spacing w:val="0"/>
          <w:kern w:val="0"/>
          <w:sz w:val="21"/>
          <w:szCs w:val="21"/>
          <w:highlight w:val="none"/>
          <w:lang w:val="en-US" w:eastAsia="zh-CN"/>
        </w:rPr>
      </w:pPr>
      <w:r>
        <w:rPr>
          <w:rFonts w:hint="default" w:ascii="Times New Roman" w:hAnsi="Times New Roman" w:cs="Times New Roman"/>
          <w:i w:val="0"/>
          <w:iCs w:val="0"/>
          <w:caps w:val="0"/>
          <w:color w:val="000000"/>
          <w:spacing w:val="0"/>
          <w:kern w:val="0"/>
          <w:sz w:val="21"/>
          <w:szCs w:val="21"/>
          <w:highlight w:val="none"/>
          <w:lang w:val="en-US" w:eastAsia="zh-CN"/>
        </w:rPr>
        <w:t>3.1.3</w:t>
      </w:r>
      <w:r>
        <w:rPr>
          <w:rFonts w:hint="eastAsia" w:ascii="Times New Roman" w:hAnsi="Times New Roman" w:cs="Times New Roman"/>
          <w:i w:val="0"/>
          <w:iCs w:val="0"/>
          <w:caps w:val="0"/>
          <w:color w:val="000000"/>
          <w:spacing w:val="0"/>
          <w:kern w:val="0"/>
          <w:sz w:val="21"/>
          <w:szCs w:val="21"/>
          <w:highlight w:val="none"/>
          <w:lang w:val="en-US" w:eastAsia="zh-CN"/>
        </w:rPr>
        <w:t>人员要求</w:t>
      </w:r>
    </w:p>
    <w:p w14:paraId="427A21A3">
      <w:pPr>
        <w:spacing w:line="360" w:lineRule="auto"/>
        <w:ind w:firstLine="420"/>
        <w:rPr>
          <w:rFonts w:hint="default" w:ascii="Times New Roman" w:hAnsi="Times New Roman" w:cs="Times New Roman"/>
          <w:i w:val="0"/>
          <w:iCs w:val="0"/>
          <w:caps w:val="0"/>
          <w:color w:val="000000"/>
          <w:spacing w:val="0"/>
          <w:kern w:val="0"/>
          <w:sz w:val="21"/>
          <w:szCs w:val="21"/>
          <w:highlight w:val="none"/>
          <w:lang w:val="en-US" w:eastAsia="zh-CN"/>
        </w:rPr>
      </w:pPr>
      <w:r>
        <w:rPr>
          <w:rFonts w:hint="default" w:ascii="Times New Roman" w:hAnsi="Times New Roman" w:cs="Times New Roman"/>
          <w:i w:val="0"/>
          <w:iCs w:val="0"/>
          <w:caps w:val="0"/>
          <w:color w:val="000000"/>
          <w:spacing w:val="0"/>
          <w:kern w:val="0"/>
          <w:sz w:val="21"/>
          <w:szCs w:val="21"/>
          <w:highlight w:val="none"/>
          <w:lang w:val="en-US" w:eastAsia="zh-CN"/>
        </w:rPr>
        <w:t>（1）项目经理：1人，具备国家建设行政主管部门颁发的机电或建筑类二级及以上注册建造师执业资格，具备有效的安全生产考核合格证书（B证）。</w:t>
      </w:r>
    </w:p>
    <w:p w14:paraId="148045BC">
      <w:pPr>
        <w:spacing w:line="360" w:lineRule="auto"/>
        <w:ind w:firstLine="420"/>
        <w:rPr>
          <w:rFonts w:hint="default" w:ascii="Times New Roman" w:hAnsi="Times New Roman" w:cs="Times New Roman"/>
          <w:i w:val="0"/>
          <w:iCs w:val="0"/>
          <w:caps w:val="0"/>
          <w:color w:val="000000"/>
          <w:spacing w:val="0"/>
          <w:kern w:val="0"/>
          <w:sz w:val="21"/>
          <w:szCs w:val="21"/>
          <w:highlight w:val="none"/>
          <w:lang w:val="en-US" w:eastAsia="zh-CN"/>
        </w:rPr>
      </w:pPr>
      <w:r>
        <w:rPr>
          <w:rFonts w:hint="default" w:ascii="Times New Roman" w:hAnsi="Times New Roman" w:cs="Times New Roman"/>
          <w:i w:val="0"/>
          <w:iCs w:val="0"/>
          <w:caps w:val="0"/>
          <w:color w:val="000000"/>
          <w:spacing w:val="0"/>
          <w:kern w:val="0"/>
          <w:sz w:val="21"/>
          <w:szCs w:val="21"/>
          <w:highlight w:val="none"/>
          <w:lang w:val="en-US" w:eastAsia="zh-CN"/>
        </w:rPr>
        <w:t>（2）技术负责人：1人，具有工程类工程师及以上职称。</w:t>
      </w:r>
    </w:p>
    <w:p w14:paraId="4FC46218">
      <w:pPr>
        <w:spacing w:line="360" w:lineRule="auto"/>
        <w:ind w:firstLine="420"/>
        <w:rPr>
          <w:rFonts w:hint="default" w:ascii="Times New Roman" w:hAnsi="Times New Roman" w:cs="Times New Roman"/>
          <w:i w:val="0"/>
          <w:iCs w:val="0"/>
          <w:caps w:val="0"/>
          <w:color w:val="000000"/>
          <w:spacing w:val="0"/>
          <w:kern w:val="0"/>
          <w:sz w:val="21"/>
          <w:szCs w:val="21"/>
          <w:highlight w:val="none"/>
          <w:lang w:val="en-US" w:eastAsia="zh-CN"/>
        </w:rPr>
      </w:pPr>
      <w:r>
        <w:rPr>
          <w:rFonts w:hint="default" w:ascii="Times New Roman" w:hAnsi="Times New Roman" w:cs="Times New Roman"/>
          <w:i w:val="0"/>
          <w:iCs w:val="0"/>
          <w:caps w:val="0"/>
          <w:color w:val="000000"/>
          <w:spacing w:val="0"/>
          <w:kern w:val="0"/>
          <w:sz w:val="21"/>
          <w:szCs w:val="21"/>
          <w:highlight w:val="none"/>
          <w:lang w:val="en-US" w:eastAsia="zh-CN"/>
        </w:rPr>
        <w:t>（3）安全负责人：1人，具有国家建设主管部门颁发有效的安全生产考核合格C证。</w:t>
      </w:r>
    </w:p>
    <w:p w14:paraId="2859A289">
      <w:pPr>
        <w:spacing w:line="360" w:lineRule="auto"/>
        <w:ind w:firstLine="420"/>
        <w:rPr>
          <w:rFonts w:hint="default" w:ascii="Times New Roman" w:hAnsi="Times New Roman" w:cs="Times New Roman"/>
          <w:i w:val="0"/>
          <w:iCs w:val="0"/>
          <w:caps w:val="0"/>
          <w:color w:val="000000"/>
          <w:spacing w:val="0"/>
          <w:kern w:val="0"/>
          <w:sz w:val="21"/>
          <w:szCs w:val="21"/>
          <w:highlight w:val="none"/>
          <w:lang w:val="en-US" w:eastAsia="zh-CN"/>
        </w:rPr>
      </w:pPr>
      <w:r>
        <w:rPr>
          <w:rFonts w:hint="default" w:ascii="Times New Roman" w:hAnsi="Times New Roman" w:cs="Times New Roman"/>
          <w:i w:val="0"/>
          <w:iCs w:val="0"/>
          <w:caps w:val="0"/>
          <w:color w:val="000000"/>
          <w:spacing w:val="0"/>
          <w:kern w:val="0"/>
          <w:sz w:val="21"/>
          <w:szCs w:val="21"/>
          <w:highlight w:val="none"/>
          <w:lang w:val="en-US" w:eastAsia="zh-CN"/>
        </w:rPr>
        <w:t>注：须提供上述人员身份证、相应执业资格证书（须在有效期内，且注册在</w:t>
      </w:r>
      <w:r>
        <w:rPr>
          <w:rFonts w:hint="eastAsia" w:ascii="Times New Roman" w:hAnsi="Times New Roman" w:cs="Times New Roman"/>
          <w:i w:val="0"/>
          <w:iCs w:val="0"/>
          <w:caps w:val="0"/>
          <w:color w:val="000000"/>
          <w:spacing w:val="0"/>
          <w:kern w:val="0"/>
          <w:sz w:val="21"/>
          <w:szCs w:val="21"/>
          <w:highlight w:val="none"/>
          <w:lang w:val="en-US" w:eastAsia="zh-CN"/>
        </w:rPr>
        <w:t>比选申请</w:t>
      </w:r>
      <w:r>
        <w:rPr>
          <w:rFonts w:hint="default" w:ascii="Times New Roman" w:hAnsi="Times New Roman" w:cs="Times New Roman"/>
          <w:i w:val="0"/>
          <w:iCs w:val="0"/>
          <w:caps w:val="0"/>
          <w:color w:val="000000"/>
          <w:spacing w:val="0"/>
          <w:kern w:val="0"/>
          <w:sz w:val="21"/>
          <w:szCs w:val="21"/>
          <w:highlight w:val="none"/>
          <w:lang w:val="en-US" w:eastAsia="zh-CN"/>
        </w:rPr>
        <w:t>人单位）、职称证书和</w:t>
      </w:r>
      <w:r>
        <w:rPr>
          <w:rFonts w:hint="eastAsia" w:ascii="Times New Roman" w:hAnsi="Times New Roman" w:cs="Times New Roman"/>
          <w:i w:val="0"/>
          <w:iCs w:val="0"/>
          <w:caps w:val="0"/>
          <w:color w:val="000000"/>
          <w:spacing w:val="0"/>
          <w:kern w:val="0"/>
          <w:sz w:val="21"/>
          <w:szCs w:val="21"/>
          <w:highlight w:val="none"/>
          <w:lang w:val="en-US" w:eastAsia="zh-CN"/>
        </w:rPr>
        <w:t>比选申请</w:t>
      </w:r>
      <w:r>
        <w:rPr>
          <w:rFonts w:hint="default" w:ascii="Times New Roman" w:hAnsi="Times New Roman" w:cs="Times New Roman"/>
          <w:i w:val="0"/>
          <w:iCs w:val="0"/>
          <w:caps w:val="0"/>
          <w:color w:val="000000"/>
          <w:spacing w:val="0"/>
          <w:kern w:val="0"/>
          <w:sz w:val="21"/>
          <w:szCs w:val="21"/>
          <w:highlight w:val="none"/>
          <w:lang w:val="en-US" w:eastAsia="zh-CN"/>
        </w:rPr>
        <w:t>文件递交截止日所在月上个月或上上个月起之前在其比选申请人单位连续6个月参加社保的证明。</w:t>
      </w:r>
    </w:p>
    <w:p w14:paraId="23903962">
      <w:pPr>
        <w:spacing w:line="360" w:lineRule="auto"/>
        <w:ind w:firstLine="420"/>
        <w:rPr>
          <w:rFonts w:hint="default" w:ascii="Times New Roman" w:hAnsi="Times New Roman" w:cs="Times New Roman"/>
          <w:i w:val="0"/>
          <w:iCs w:val="0"/>
          <w:caps w:val="0"/>
          <w:color w:val="000000"/>
          <w:spacing w:val="0"/>
          <w:kern w:val="0"/>
          <w:sz w:val="21"/>
          <w:szCs w:val="21"/>
          <w:highlight w:val="none"/>
          <w:lang w:val="en-US" w:eastAsia="zh-CN"/>
        </w:rPr>
      </w:pPr>
      <w:r>
        <w:rPr>
          <w:rFonts w:hint="default" w:ascii="Times New Roman" w:hAnsi="Times New Roman" w:cs="Times New Roman"/>
          <w:i w:val="0"/>
          <w:iCs w:val="0"/>
          <w:caps w:val="0"/>
          <w:color w:val="000000"/>
          <w:spacing w:val="0"/>
          <w:kern w:val="0"/>
          <w:sz w:val="21"/>
          <w:szCs w:val="21"/>
          <w:highlight w:val="none"/>
          <w:lang w:val="en-US" w:eastAsia="zh-CN"/>
        </w:rPr>
        <w:t>3.1.4</w:t>
      </w:r>
      <w:r>
        <w:rPr>
          <w:rFonts w:hint="eastAsia" w:ascii="Times New Roman" w:hAnsi="Times New Roman" w:cs="Times New Roman"/>
          <w:i w:val="0"/>
          <w:iCs w:val="0"/>
          <w:caps w:val="0"/>
          <w:color w:val="000000"/>
          <w:spacing w:val="0"/>
          <w:kern w:val="0"/>
          <w:sz w:val="21"/>
          <w:szCs w:val="21"/>
          <w:highlight w:val="none"/>
          <w:lang w:val="en-US" w:eastAsia="zh-CN"/>
        </w:rPr>
        <w:t>信誉</w:t>
      </w:r>
      <w:r>
        <w:rPr>
          <w:rFonts w:hint="default" w:ascii="Times New Roman" w:hAnsi="Times New Roman" w:cs="Times New Roman"/>
          <w:i w:val="0"/>
          <w:iCs w:val="0"/>
          <w:caps w:val="0"/>
          <w:color w:val="000000"/>
          <w:spacing w:val="0"/>
          <w:kern w:val="0"/>
          <w:sz w:val="21"/>
          <w:szCs w:val="21"/>
          <w:highlight w:val="none"/>
          <w:lang w:val="en-US" w:eastAsia="zh-CN"/>
        </w:rPr>
        <w:t>要求</w:t>
      </w:r>
    </w:p>
    <w:p w14:paraId="517FA6AB">
      <w:pPr>
        <w:spacing w:line="360" w:lineRule="auto"/>
        <w:ind w:firstLine="420"/>
        <w:rPr>
          <w:rFonts w:hint="eastAsia" w:ascii="Times New Roman" w:hAnsi="Times New Roman" w:cs="Times New Roman"/>
          <w:i w:val="0"/>
          <w:iCs w:val="0"/>
          <w:caps w:val="0"/>
          <w:color w:val="000000"/>
          <w:spacing w:val="0"/>
          <w:kern w:val="0"/>
          <w:sz w:val="21"/>
          <w:szCs w:val="21"/>
          <w:highlight w:val="none"/>
          <w:lang w:val="en-US" w:eastAsia="zh-CN"/>
        </w:rPr>
      </w:pPr>
      <w:r>
        <w:rPr>
          <w:rFonts w:hint="eastAsia" w:ascii="Times New Roman" w:hAnsi="Times New Roman" w:cs="Times New Roman"/>
          <w:i w:val="0"/>
          <w:iCs w:val="0"/>
          <w:caps w:val="0"/>
          <w:color w:val="000000"/>
          <w:spacing w:val="0"/>
          <w:kern w:val="0"/>
          <w:sz w:val="21"/>
          <w:szCs w:val="21"/>
          <w:highlight w:val="none"/>
          <w:lang w:val="en-US" w:eastAsia="zh-CN"/>
        </w:rPr>
        <w:t>在“信用中国”网站（http：//www.creditchina.gov.cn）中查询比选申请人（单位）为失信被执行人的，其投标无效；在国家企业信用信息公示系统（www.gsxt.gov.cn）中未被列入</w:t>
      </w:r>
    </w:p>
    <w:p w14:paraId="0D68C7EB">
      <w:pPr>
        <w:spacing w:line="360" w:lineRule="auto"/>
        <w:ind w:firstLine="420"/>
        <w:rPr>
          <w:rFonts w:hint="default" w:ascii="Times New Roman" w:hAnsi="Times New Roman" w:cs="Times New Roman"/>
          <w:i w:val="0"/>
          <w:iCs w:val="0"/>
          <w:caps w:val="0"/>
          <w:color w:val="000000"/>
          <w:spacing w:val="0"/>
          <w:kern w:val="0"/>
          <w:sz w:val="21"/>
          <w:szCs w:val="21"/>
          <w:highlight w:val="none"/>
          <w:lang w:val="en-US" w:eastAsia="zh-CN"/>
        </w:rPr>
      </w:pPr>
      <w:r>
        <w:rPr>
          <w:rFonts w:hint="eastAsia" w:ascii="Times New Roman" w:hAnsi="Times New Roman" w:cs="Times New Roman"/>
          <w:i w:val="0"/>
          <w:iCs w:val="0"/>
          <w:caps w:val="0"/>
          <w:color w:val="000000"/>
          <w:spacing w:val="0"/>
          <w:kern w:val="0"/>
          <w:sz w:val="21"/>
          <w:szCs w:val="21"/>
          <w:highlight w:val="none"/>
          <w:lang w:val="en-US" w:eastAsia="zh-CN"/>
        </w:rPr>
        <w:t>3.1.5其他要求</w:t>
      </w:r>
    </w:p>
    <w:p w14:paraId="4DD258CD">
      <w:pPr>
        <w:spacing w:line="360" w:lineRule="auto"/>
        <w:ind w:firstLine="420"/>
        <w:rPr>
          <w:rFonts w:hint="eastAsia" w:ascii="Times New Roman" w:hAnsi="Times New Roman" w:cs="Times New Roman"/>
          <w:i w:val="0"/>
          <w:iCs w:val="0"/>
          <w:caps w:val="0"/>
          <w:color w:val="000000"/>
          <w:spacing w:val="0"/>
          <w:kern w:val="0"/>
          <w:sz w:val="21"/>
          <w:szCs w:val="21"/>
          <w:highlight w:val="none"/>
          <w:lang w:val="en-US" w:eastAsia="zh-CN"/>
        </w:rPr>
      </w:pPr>
      <w:r>
        <w:rPr>
          <w:rFonts w:hint="eastAsia" w:ascii="Times New Roman" w:hAnsi="Times New Roman" w:cs="Times New Roman"/>
          <w:i w:val="0"/>
          <w:iCs w:val="0"/>
          <w:caps w:val="0"/>
          <w:color w:val="000000"/>
          <w:spacing w:val="0"/>
          <w:kern w:val="0"/>
          <w:sz w:val="21"/>
          <w:szCs w:val="21"/>
          <w:highlight w:val="none"/>
          <w:lang w:val="en-US" w:eastAsia="zh-CN"/>
        </w:rPr>
        <w:t>若比选项目为建设工程类，须在蜀道集团公司工程建设协作方资源库（协作方管理平台，网址：https://xzf.shudaolink.com/）中，被协作方资源库列为C级及以下的比选申请人，不得参加比选申请。</w:t>
      </w:r>
    </w:p>
    <w:p w14:paraId="1806EFCD">
      <w:pPr>
        <w:spacing w:line="360" w:lineRule="auto"/>
        <w:ind w:firstLine="420"/>
        <w:rPr>
          <w:rFonts w:hint="eastAsia" w:ascii="Times New Roman" w:hAnsi="Times New Roman" w:cs="Times New Roman"/>
          <w:i w:val="0"/>
          <w:iCs w:val="0"/>
          <w:caps w:val="0"/>
          <w:color w:val="000000"/>
          <w:spacing w:val="0"/>
          <w:kern w:val="0"/>
          <w:sz w:val="21"/>
          <w:szCs w:val="21"/>
          <w:highlight w:val="none"/>
          <w:lang w:val="en-US" w:eastAsia="zh-CN"/>
        </w:rPr>
      </w:pPr>
      <w:r>
        <w:rPr>
          <w:rFonts w:hint="eastAsia" w:ascii="Times New Roman" w:hAnsi="Times New Roman" w:cs="Times New Roman"/>
          <w:i w:val="0"/>
          <w:iCs w:val="0"/>
          <w:caps w:val="0"/>
          <w:color w:val="000000"/>
          <w:spacing w:val="0"/>
          <w:kern w:val="0"/>
          <w:sz w:val="21"/>
          <w:szCs w:val="21"/>
          <w:highlight w:val="none"/>
          <w:lang w:val="en-US" w:eastAsia="zh-CN"/>
        </w:rPr>
        <w:t>（1）本次比选不接受联合体申请。</w:t>
      </w:r>
    </w:p>
    <w:p w14:paraId="3DC10D92">
      <w:pPr>
        <w:spacing w:line="360" w:lineRule="auto"/>
        <w:ind w:firstLine="420"/>
        <w:rPr>
          <w:rFonts w:hint="eastAsia" w:ascii="Times New Roman" w:hAnsi="Times New Roman" w:cs="Times New Roman"/>
          <w:i w:val="0"/>
          <w:iCs w:val="0"/>
          <w:caps w:val="0"/>
          <w:color w:val="000000"/>
          <w:spacing w:val="0"/>
          <w:kern w:val="0"/>
          <w:sz w:val="21"/>
          <w:szCs w:val="21"/>
          <w:highlight w:val="none"/>
          <w:lang w:val="en-US" w:eastAsia="zh-CN"/>
        </w:rPr>
      </w:pPr>
      <w:r>
        <w:rPr>
          <w:rFonts w:hint="eastAsia" w:ascii="Times New Roman" w:hAnsi="Times New Roman" w:cs="Times New Roman"/>
          <w:i w:val="0"/>
          <w:iCs w:val="0"/>
          <w:caps w:val="0"/>
          <w:color w:val="000000"/>
          <w:spacing w:val="0"/>
          <w:kern w:val="0"/>
          <w:sz w:val="21"/>
          <w:szCs w:val="21"/>
          <w:highlight w:val="none"/>
          <w:lang w:val="en-US" w:eastAsia="zh-CN"/>
        </w:rPr>
        <w:t>（2）单位负责人为同一人或者存在控股、管理关系的不同比选申请人，不得参加同一标段比选申请。否则，相关比选申请文件均无效。</w:t>
      </w:r>
    </w:p>
    <w:p w14:paraId="0B1A9380">
      <w:pPr>
        <w:spacing w:line="360" w:lineRule="auto"/>
        <w:outlineLvl w:val="0"/>
        <w:rPr>
          <w:rFonts w:ascii="Times New Roman" w:hAnsi="Times New Roman" w:cs="Times New Roman"/>
          <w:b/>
          <w:color w:val="000000"/>
          <w:sz w:val="28"/>
          <w:szCs w:val="28"/>
          <w:highlight w:val="none"/>
        </w:rPr>
      </w:pPr>
      <w:bookmarkStart w:id="6" w:name="_Toc9282"/>
      <w:r>
        <w:rPr>
          <w:rFonts w:ascii="Times New Roman" w:hAnsi="Times New Roman" w:cs="Times New Roman"/>
          <w:b/>
          <w:color w:val="000000"/>
          <w:sz w:val="28"/>
          <w:szCs w:val="28"/>
          <w:highlight w:val="none"/>
        </w:rPr>
        <w:t>4.评</w:t>
      </w:r>
      <w:r>
        <w:rPr>
          <w:rFonts w:hint="eastAsia" w:ascii="Times New Roman" w:hAnsi="Times New Roman" w:cs="Times New Roman"/>
          <w:b/>
          <w:color w:val="000000"/>
          <w:sz w:val="28"/>
          <w:szCs w:val="28"/>
          <w:highlight w:val="none"/>
          <w:lang w:val="en-US" w:eastAsia="zh-CN"/>
        </w:rPr>
        <w:t>审</w:t>
      </w:r>
      <w:r>
        <w:rPr>
          <w:rFonts w:ascii="Times New Roman" w:hAnsi="Times New Roman" w:cs="Times New Roman"/>
          <w:b/>
          <w:color w:val="000000"/>
          <w:sz w:val="28"/>
          <w:szCs w:val="28"/>
          <w:highlight w:val="none"/>
        </w:rPr>
        <w:t>办法</w:t>
      </w:r>
      <w:bookmarkEnd w:id="6"/>
    </w:p>
    <w:p w14:paraId="5D77F340">
      <w:pPr>
        <w:spacing w:line="360" w:lineRule="auto"/>
        <w:ind w:firstLine="420" w:firstLineChars="200"/>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t>4.1</w:t>
      </w:r>
      <w:r>
        <w:rPr>
          <w:rFonts w:hint="eastAsia" w:ascii="Times New Roman" w:hAnsi="Times New Roman" w:cs="Times New Roman"/>
          <w:color w:val="000000"/>
          <w:kern w:val="0"/>
          <w:szCs w:val="21"/>
          <w:highlight w:val="none"/>
          <w:lang w:val="en-US" w:eastAsia="zh-CN"/>
        </w:rPr>
        <w:t>本次比选采用</w:t>
      </w:r>
      <w:r>
        <w:rPr>
          <w:rFonts w:hint="eastAsia" w:ascii="Times New Roman" w:hAnsi="Times New Roman" w:cs="Times New Roman"/>
          <w:color w:val="000000"/>
          <w:kern w:val="0"/>
          <w:szCs w:val="21"/>
          <w:highlight w:val="none"/>
          <w:u w:val="single"/>
          <w:lang w:val="en-US" w:eastAsia="zh-CN"/>
        </w:rPr>
        <w:t>综合评分法</w:t>
      </w:r>
      <w:r>
        <w:rPr>
          <w:rFonts w:hint="eastAsia" w:ascii="Times New Roman" w:hAnsi="Times New Roman" w:cs="Times New Roman"/>
          <w:color w:val="000000"/>
          <w:kern w:val="0"/>
          <w:szCs w:val="21"/>
          <w:highlight w:val="none"/>
          <w:lang w:val="en-US" w:eastAsia="zh-CN"/>
        </w:rPr>
        <w:t>，资格后审。</w:t>
      </w:r>
    </w:p>
    <w:p w14:paraId="14FF7B55">
      <w:pPr>
        <w:spacing w:line="360" w:lineRule="auto"/>
        <w:outlineLvl w:val="0"/>
        <w:rPr>
          <w:rFonts w:hint="eastAsia" w:ascii="Times New Roman" w:hAnsi="Times New Roman" w:eastAsia="宋体" w:cs="Times New Roman"/>
          <w:color w:val="000000"/>
          <w:sz w:val="28"/>
          <w:szCs w:val="28"/>
          <w:highlight w:val="none"/>
          <w:lang w:eastAsia="zh-CN"/>
        </w:rPr>
      </w:pPr>
      <w:bookmarkStart w:id="7" w:name="_Toc25598"/>
      <w:r>
        <w:rPr>
          <w:rFonts w:ascii="Times New Roman" w:hAnsi="Times New Roman" w:cs="Times New Roman"/>
          <w:b/>
          <w:color w:val="000000"/>
          <w:sz w:val="28"/>
          <w:szCs w:val="28"/>
          <w:highlight w:val="none"/>
        </w:rPr>
        <w:t>5.</w:t>
      </w:r>
      <w:r>
        <w:rPr>
          <w:rFonts w:hint="eastAsia" w:ascii="Times New Roman" w:hAnsi="Times New Roman" w:cs="Times New Roman"/>
          <w:b/>
          <w:color w:val="000000"/>
          <w:sz w:val="28"/>
          <w:szCs w:val="28"/>
          <w:highlight w:val="none"/>
        </w:rPr>
        <w:t>比选</w:t>
      </w:r>
      <w:r>
        <w:rPr>
          <w:rFonts w:ascii="Times New Roman" w:hAnsi="Times New Roman" w:cs="Times New Roman"/>
          <w:b/>
          <w:color w:val="000000"/>
          <w:sz w:val="28"/>
          <w:szCs w:val="28"/>
          <w:highlight w:val="none"/>
        </w:rPr>
        <w:t>文件的获取</w:t>
      </w:r>
      <w:bookmarkEnd w:id="7"/>
    </w:p>
    <w:p w14:paraId="563F021A">
      <w:pPr>
        <w:spacing w:line="360" w:lineRule="auto"/>
        <w:ind w:left="0" w:leftChars="0" w:firstLine="420" w:firstLineChars="200"/>
        <w:rPr>
          <w:rFonts w:ascii="Times New Roman" w:hAnsi="Times New Roman" w:cs="Times New Roman"/>
          <w:color w:val="0000FF"/>
          <w:kern w:val="0"/>
          <w:szCs w:val="21"/>
          <w:highlight w:val="none"/>
        </w:rPr>
      </w:pPr>
      <w:r>
        <w:rPr>
          <w:rFonts w:hint="eastAsia"/>
          <w:b w:val="0"/>
          <w:bCs w:val="0"/>
          <w:kern w:val="2"/>
          <w:sz w:val="21"/>
          <w:szCs w:val="21"/>
          <w:highlight w:val="none"/>
          <w:lang w:val="en-US" w:eastAsia="zh-CN"/>
        </w:rPr>
        <w:t>5.1</w:t>
      </w:r>
      <w:r>
        <w:rPr>
          <w:rFonts w:hint="eastAsia"/>
          <w:b w:val="0"/>
          <w:bCs w:val="0"/>
          <w:kern w:val="2"/>
          <w:sz w:val="21"/>
          <w:szCs w:val="21"/>
          <w:highlight w:val="none"/>
          <w:lang w:val="en-US" w:eastAsia="zh-CN"/>
        </w:rPr>
        <w:fldChar w:fldCharType="begin"/>
      </w:r>
      <w:r>
        <w:rPr>
          <w:rFonts w:hint="eastAsia"/>
          <w:b w:val="0"/>
          <w:bCs w:val="0"/>
          <w:kern w:val="2"/>
          <w:sz w:val="21"/>
          <w:szCs w:val="21"/>
          <w:highlight w:val="none"/>
          <w:lang w:val="en-US" w:eastAsia="zh-CN"/>
        </w:rPr>
        <w:instrText xml:space="preserve"> HYPERLINK "mailto:通过邮箱报名，凡有意参加比选竞争并符合第三条" </w:instrText>
      </w:r>
      <w:r>
        <w:rPr>
          <w:rFonts w:hint="eastAsia"/>
          <w:b w:val="0"/>
          <w:bCs w:val="0"/>
          <w:kern w:val="2"/>
          <w:sz w:val="21"/>
          <w:szCs w:val="21"/>
          <w:highlight w:val="none"/>
          <w:lang w:val="en-US" w:eastAsia="zh-CN"/>
        </w:rPr>
        <w:fldChar w:fldCharType="separate"/>
      </w:r>
      <w:r>
        <w:rPr>
          <w:rFonts w:hint="eastAsia"/>
          <w:b w:val="0"/>
          <w:bCs w:val="0"/>
          <w:kern w:val="2"/>
          <w:sz w:val="21"/>
          <w:szCs w:val="21"/>
          <w:highlight w:val="none"/>
          <w:lang w:val="en-US" w:eastAsia="zh-CN"/>
        </w:rPr>
        <w:t>凡有意参加比选竞争并符合第三条“比选申请人资格要求”的申请人，请于2026年9月15日至2026年9月22日在四川蜀道新能源科技发展有限公司网站（http://www.sdxnykj.cn/）上免费下载比选文件。</w:t>
      </w:r>
      <w:r>
        <w:rPr>
          <w:rFonts w:hint="eastAsia"/>
          <w:b w:val="0"/>
          <w:bCs w:val="0"/>
          <w:kern w:val="2"/>
          <w:sz w:val="21"/>
          <w:szCs w:val="21"/>
          <w:highlight w:val="none"/>
          <w:lang w:val="en-US" w:eastAsia="zh-CN"/>
        </w:rPr>
        <w:fldChar w:fldCharType="end"/>
      </w:r>
    </w:p>
    <w:p w14:paraId="68B1F359">
      <w:pPr>
        <w:widowControl/>
        <w:tabs>
          <w:tab w:val="left" w:pos="5220"/>
          <w:tab w:val="left" w:pos="5400"/>
          <w:tab w:val="left" w:pos="5580"/>
        </w:tabs>
        <w:autoSpaceDE w:val="0"/>
        <w:autoSpaceDN w:val="0"/>
        <w:spacing w:line="360" w:lineRule="auto"/>
        <w:ind w:firstLine="420" w:firstLineChars="200"/>
        <w:jc w:val="left"/>
        <w:rPr>
          <w:rFonts w:hint="eastAsia" w:ascii="Times New Roman" w:hAnsi="Times New Roman" w:eastAsia="宋体" w:cs="Times New Roman"/>
          <w:color w:val="0000FF"/>
          <w:kern w:val="0"/>
          <w:szCs w:val="21"/>
          <w:highlight w:val="none"/>
          <w:lang w:eastAsia="zh-CN"/>
        </w:rPr>
      </w:pPr>
      <w:r>
        <w:rPr>
          <w:rFonts w:ascii="Times New Roman" w:hAnsi="Times New Roman" w:cs="Times New Roman"/>
          <w:kern w:val="0"/>
          <w:szCs w:val="21"/>
          <w:highlight w:val="none"/>
        </w:rPr>
        <w:t>5.1.1</w:t>
      </w:r>
      <w:r>
        <w:rPr>
          <w:rFonts w:hint="eastAsia" w:ascii="Times New Roman" w:hAnsi="Times New Roman" w:cs="Times New Roman"/>
          <w:kern w:val="0"/>
          <w:szCs w:val="21"/>
          <w:highlight w:val="none"/>
          <w:lang w:val="en-US" w:eastAsia="zh-CN"/>
        </w:rPr>
        <w:t xml:space="preserve"> </w:t>
      </w:r>
      <w:r>
        <w:rPr>
          <w:rFonts w:hint="eastAsia" w:ascii="Times New Roman" w:hAnsi="Times New Roman" w:cs="Times New Roman"/>
          <w:kern w:val="0"/>
          <w:szCs w:val="21"/>
          <w:highlight w:val="none"/>
        </w:rPr>
        <w:t>比选申请</w:t>
      </w:r>
      <w:r>
        <w:rPr>
          <w:rFonts w:ascii="Times New Roman" w:hAnsi="Times New Roman" w:cs="Times New Roman"/>
          <w:kern w:val="0"/>
          <w:szCs w:val="21"/>
          <w:highlight w:val="none"/>
        </w:rPr>
        <w:t>保证金费用的约定：</w:t>
      </w:r>
    </w:p>
    <w:p w14:paraId="451408E8">
      <w:pPr>
        <w:widowControl/>
        <w:numPr>
          <w:ilvl w:val="255"/>
          <w:numId w:val="0"/>
        </w:numPr>
        <w:spacing w:line="360" w:lineRule="auto"/>
        <w:ind w:right="149" w:rightChars="71" w:firstLine="420" w:firstLineChars="200"/>
        <w:jc w:val="left"/>
        <w:rPr>
          <w:rFonts w:hint="eastAsia" w:ascii="Times New Roman" w:hAnsi="Times New Roman" w:eastAsia="宋体" w:cs="Times New Roman"/>
          <w:kern w:val="0"/>
          <w:szCs w:val="21"/>
          <w:highlight w:val="none"/>
          <w:lang w:val="en-US" w:eastAsia="zh-CN"/>
        </w:rPr>
      </w:pPr>
      <w:r>
        <w:rPr>
          <w:rFonts w:hint="eastAsia" w:ascii="Times New Roman" w:hAnsi="Times New Roman" w:cs="Times New Roman"/>
          <w:kern w:val="0"/>
          <w:szCs w:val="21"/>
          <w:highlight w:val="none"/>
        </w:rPr>
        <w:t>比选申请</w:t>
      </w:r>
      <w:r>
        <w:rPr>
          <w:rFonts w:ascii="Times New Roman" w:hAnsi="Times New Roman" w:cs="Times New Roman"/>
          <w:color w:val="000000"/>
          <w:szCs w:val="21"/>
          <w:highlight w:val="none"/>
        </w:rPr>
        <w:t>保证金金额：</w:t>
      </w:r>
      <w:r>
        <w:rPr>
          <w:rFonts w:hint="eastAsia" w:ascii="Times New Roman" w:hAnsi="Times New Roman" w:cs="Times New Roman"/>
          <w:color w:val="000000"/>
          <w:szCs w:val="21"/>
          <w:highlight w:val="none"/>
          <w:lang w:val="en-US" w:eastAsia="zh-CN"/>
        </w:rPr>
        <w:t>无</w:t>
      </w:r>
    </w:p>
    <w:p w14:paraId="690989BD">
      <w:pPr>
        <w:spacing w:line="360" w:lineRule="auto"/>
        <w:outlineLvl w:val="0"/>
        <w:rPr>
          <w:rFonts w:ascii="Times New Roman" w:hAnsi="Times New Roman" w:cs="Times New Roman"/>
          <w:b/>
          <w:color w:val="000000"/>
          <w:sz w:val="28"/>
          <w:szCs w:val="28"/>
          <w:highlight w:val="none"/>
        </w:rPr>
      </w:pPr>
      <w:bookmarkStart w:id="8" w:name="_Toc11554"/>
      <w:r>
        <w:rPr>
          <w:rFonts w:ascii="Times New Roman" w:hAnsi="Times New Roman" w:cs="Times New Roman"/>
          <w:b/>
          <w:color w:val="000000"/>
          <w:sz w:val="28"/>
          <w:szCs w:val="28"/>
          <w:highlight w:val="none"/>
        </w:rPr>
        <w:t>6.</w:t>
      </w:r>
      <w:r>
        <w:rPr>
          <w:rFonts w:hint="eastAsia" w:ascii="Times New Roman" w:hAnsi="Times New Roman" w:cs="Times New Roman"/>
          <w:b/>
          <w:color w:val="000000"/>
          <w:sz w:val="28"/>
          <w:szCs w:val="28"/>
          <w:highlight w:val="none"/>
        </w:rPr>
        <w:t>比选申请文件</w:t>
      </w:r>
      <w:r>
        <w:rPr>
          <w:rFonts w:ascii="Times New Roman" w:hAnsi="Times New Roman" w:cs="Times New Roman"/>
          <w:b/>
          <w:color w:val="000000"/>
          <w:sz w:val="28"/>
          <w:szCs w:val="28"/>
          <w:highlight w:val="none"/>
        </w:rPr>
        <w:t>的递交及相关事宜</w:t>
      </w:r>
      <w:bookmarkEnd w:id="8"/>
    </w:p>
    <w:p w14:paraId="1F6F2B78">
      <w:pPr>
        <w:spacing w:line="360" w:lineRule="auto"/>
        <w:ind w:firstLine="420" w:firstLineChars="200"/>
        <w:rPr>
          <w:rFonts w:ascii="Times New Roman" w:hAnsi="Times New Roman" w:cs="Times New Roman"/>
          <w:highlight w:val="none"/>
        </w:rPr>
      </w:pPr>
      <w:r>
        <w:rPr>
          <w:rFonts w:ascii="Times New Roman" w:hAnsi="Times New Roman" w:cs="Times New Roman"/>
          <w:highlight w:val="none"/>
        </w:rPr>
        <w:t>6.1现场踏勘及</w:t>
      </w:r>
      <w:r>
        <w:rPr>
          <w:rFonts w:hint="eastAsia" w:ascii="Times New Roman" w:hAnsi="Times New Roman" w:cs="Times New Roman"/>
          <w:highlight w:val="none"/>
        </w:rPr>
        <w:t>比选申请</w:t>
      </w:r>
      <w:r>
        <w:rPr>
          <w:rFonts w:ascii="Times New Roman" w:hAnsi="Times New Roman" w:cs="Times New Roman"/>
          <w:highlight w:val="none"/>
        </w:rPr>
        <w:t>预备会议</w:t>
      </w:r>
    </w:p>
    <w:p w14:paraId="4110241E">
      <w:pPr>
        <w:spacing w:line="360" w:lineRule="auto"/>
        <w:ind w:firstLine="630" w:firstLineChars="300"/>
        <w:rPr>
          <w:rFonts w:ascii="Times New Roman" w:hAnsi="Times New Roman" w:cs="Times New Roman"/>
          <w:highlight w:val="none"/>
        </w:rPr>
      </w:pPr>
      <w:r>
        <w:rPr>
          <w:rFonts w:ascii="Times New Roman" w:hAnsi="Times New Roman" w:cs="Times New Roman"/>
          <w:highlight w:val="none"/>
        </w:rPr>
        <w:t>6.1.1现场踏勘：</w:t>
      </w:r>
      <w:r>
        <w:rPr>
          <w:rFonts w:hint="eastAsia" w:ascii="Times New Roman" w:hAnsi="Times New Roman" w:cs="Times New Roman"/>
          <w:highlight w:val="none"/>
        </w:rPr>
        <w:t>比选人</w:t>
      </w:r>
      <w:r>
        <w:rPr>
          <w:rFonts w:ascii="Times New Roman" w:hAnsi="Times New Roman" w:cs="Times New Roman"/>
          <w:highlight w:val="none"/>
          <w:u w:val="single"/>
        </w:rPr>
        <w:t>不组织</w:t>
      </w:r>
      <w:r>
        <w:rPr>
          <w:rFonts w:ascii="Times New Roman" w:hAnsi="Times New Roman" w:cs="Times New Roman"/>
          <w:highlight w:val="none"/>
        </w:rPr>
        <w:t>，由</w:t>
      </w:r>
      <w:r>
        <w:rPr>
          <w:rFonts w:hint="eastAsia" w:ascii="Times New Roman" w:hAnsi="Times New Roman" w:cs="Times New Roman"/>
          <w:highlight w:val="none"/>
        </w:rPr>
        <w:t>比选申请人</w:t>
      </w:r>
      <w:r>
        <w:rPr>
          <w:rFonts w:ascii="Times New Roman" w:hAnsi="Times New Roman" w:cs="Times New Roman"/>
          <w:highlight w:val="none"/>
        </w:rPr>
        <w:t>自行组织前往，</w:t>
      </w:r>
      <w:r>
        <w:rPr>
          <w:rFonts w:hint="eastAsia" w:ascii="Times New Roman" w:hAnsi="Times New Roman" w:cs="Times New Roman"/>
          <w:highlight w:val="none"/>
        </w:rPr>
        <w:t>比选申请人</w:t>
      </w:r>
      <w:r>
        <w:rPr>
          <w:rFonts w:ascii="Times New Roman" w:hAnsi="Times New Roman" w:cs="Times New Roman"/>
          <w:highlight w:val="none"/>
        </w:rPr>
        <w:t>自行负责踏勘过程中的交通、安全以及相关费用。</w:t>
      </w:r>
    </w:p>
    <w:p w14:paraId="181B5645">
      <w:pPr>
        <w:spacing w:line="360" w:lineRule="auto"/>
        <w:ind w:firstLine="630" w:firstLineChars="300"/>
        <w:rPr>
          <w:rFonts w:ascii="Times New Roman" w:hAnsi="Times New Roman" w:cs="Times New Roman"/>
          <w:highlight w:val="none"/>
        </w:rPr>
      </w:pPr>
      <w:r>
        <w:rPr>
          <w:rFonts w:ascii="Times New Roman" w:hAnsi="Times New Roman" w:cs="Times New Roman"/>
          <w:highlight w:val="none"/>
        </w:rPr>
        <w:t>6.1.2</w:t>
      </w:r>
      <w:r>
        <w:rPr>
          <w:rFonts w:hint="eastAsia" w:ascii="Times New Roman" w:hAnsi="Times New Roman" w:cs="Times New Roman"/>
          <w:highlight w:val="none"/>
        </w:rPr>
        <w:t>比选申请</w:t>
      </w:r>
      <w:r>
        <w:rPr>
          <w:rFonts w:ascii="Times New Roman" w:hAnsi="Times New Roman" w:cs="Times New Roman"/>
          <w:highlight w:val="none"/>
        </w:rPr>
        <w:t>预备会时间：</w:t>
      </w:r>
      <w:r>
        <w:rPr>
          <w:rFonts w:hint="eastAsia" w:ascii="Times New Roman" w:hAnsi="Times New Roman" w:cs="Times New Roman"/>
          <w:highlight w:val="none"/>
        </w:rPr>
        <w:t>比选人</w:t>
      </w:r>
      <w:r>
        <w:rPr>
          <w:rFonts w:ascii="Times New Roman" w:hAnsi="Times New Roman" w:cs="Times New Roman"/>
          <w:highlight w:val="none"/>
          <w:u w:val="single"/>
        </w:rPr>
        <w:t>不组织</w:t>
      </w:r>
      <w:r>
        <w:rPr>
          <w:rFonts w:ascii="Times New Roman" w:hAnsi="Times New Roman" w:cs="Times New Roman"/>
          <w:highlight w:val="none"/>
        </w:rPr>
        <w:t>召开</w:t>
      </w:r>
      <w:r>
        <w:rPr>
          <w:rFonts w:hint="eastAsia" w:ascii="Times New Roman" w:hAnsi="Times New Roman" w:cs="Times New Roman"/>
          <w:highlight w:val="none"/>
        </w:rPr>
        <w:t>比选申请</w:t>
      </w:r>
      <w:r>
        <w:rPr>
          <w:rFonts w:ascii="Times New Roman" w:hAnsi="Times New Roman" w:cs="Times New Roman"/>
          <w:highlight w:val="none"/>
        </w:rPr>
        <w:t>预备会。</w:t>
      </w:r>
    </w:p>
    <w:p w14:paraId="1B77AAB5">
      <w:pPr>
        <w:pStyle w:val="11"/>
        <w:spacing w:line="360" w:lineRule="auto"/>
        <w:ind w:firstLine="420" w:firstLineChars="200"/>
        <w:rPr>
          <w:rFonts w:ascii="Times New Roman" w:hAnsi="Times New Roman" w:cs="Times New Roman"/>
          <w:highlight w:val="none"/>
        </w:rPr>
      </w:pPr>
      <w:r>
        <w:rPr>
          <w:rFonts w:ascii="Times New Roman" w:hAnsi="Times New Roman" w:cs="Times New Roman"/>
          <w:highlight w:val="none"/>
        </w:rPr>
        <w:t>6.2</w:t>
      </w:r>
      <w:r>
        <w:rPr>
          <w:rFonts w:hint="eastAsia" w:ascii="Times New Roman" w:hAnsi="Times New Roman" w:cs="Times New Roman"/>
          <w:highlight w:val="none"/>
        </w:rPr>
        <w:t>比选申请文件</w:t>
      </w:r>
      <w:r>
        <w:rPr>
          <w:rFonts w:ascii="Times New Roman" w:hAnsi="Times New Roman" w:cs="Times New Roman"/>
          <w:highlight w:val="none"/>
        </w:rPr>
        <w:t>的递交</w:t>
      </w:r>
    </w:p>
    <w:p w14:paraId="12A06B01">
      <w:pPr>
        <w:pStyle w:val="11"/>
        <w:autoSpaceDE w:val="0"/>
        <w:autoSpaceDN w:val="0"/>
        <w:spacing w:line="360" w:lineRule="auto"/>
        <w:ind w:firstLine="630" w:firstLineChars="300"/>
        <w:rPr>
          <w:rFonts w:ascii="Times New Roman" w:hAnsi="Times New Roman" w:cs="Times New Roman"/>
          <w:highlight w:val="none"/>
        </w:rPr>
      </w:pPr>
      <w:r>
        <w:rPr>
          <w:rFonts w:ascii="Times New Roman" w:hAnsi="Times New Roman" w:cs="Times New Roman"/>
          <w:highlight w:val="none"/>
        </w:rPr>
        <w:t>6.2.1比选申请文件递交截止时间：202</w:t>
      </w:r>
      <w:r>
        <w:rPr>
          <w:rFonts w:hint="eastAsia" w:ascii="Times New Roman" w:hAnsi="Times New Roman" w:cs="Times New Roman"/>
          <w:highlight w:val="none"/>
          <w:lang w:val="en-US" w:eastAsia="zh-CN"/>
        </w:rPr>
        <w:t>6</w:t>
      </w:r>
      <w:r>
        <w:rPr>
          <w:rFonts w:ascii="Times New Roman" w:hAnsi="Times New Roman" w:cs="Times New Roman"/>
          <w:highlight w:val="none"/>
        </w:rPr>
        <w:t>年</w:t>
      </w:r>
      <w:r>
        <w:rPr>
          <w:rFonts w:hint="eastAsia" w:ascii="Times New Roman" w:hAnsi="Times New Roman" w:cs="Times New Roman"/>
          <w:highlight w:val="none"/>
          <w:lang w:val="en-US" w:eastAsia="zh-CN"/>
        </w:rPr>
        <w:t>9</w:t>
      </w:r>
      <w:r>
        <w:rPr>
          <w:rFonts w:ascii="Times New Roman" w:hAnsi="Times New Roman" w:cs="Times New Roman"/>
          <w:highlight w:val="none"/>
        </w:rPr>
        <w:t>月</w:t>
      </w:r>
      <w:r>
        <w:rPr>
          <w:rFonts w:hint="eastAsia" w:ascii="Times New Roman" w:hAnsi="Times New Roman" w:cs="Times New Roman"/>
          <w:highlight w:val="none"/>
          <w:lang w:val="en-US" w:eastAsia="zh-CN"/>
        </w:rPr>
        <w:t>23</w:t>
      </w:r>
      <w:r>
        <w:rPr>
          <w:rFonts w:ascii="Times New Roman" w:hAnsi="Times New Roman" w:cs="Times New Roman"/>
          <w:highlight w:val="none"/>
        </w:rPr>
        <w:t>日</w:t>
      </w:r>
      <w:r>
        <w:rPr>
          <w:rFonts w:hint="eastAsia" w:ascii="Times New Roman" w:hAnsi="Times New Roman" w:cs="Times New Roman"/>
          <w:highlight w:val="none"/>
          <w:lang w:val="en-US" w:eastAsia="zh-CN"/>
        </w:rPr>
        <w:t>9</w:t>
      </w:r>
      <w:r>
        <w:rPr>
          <w:rFonts w:ascii="Times New Roman" w:hAnsi="Times New Roman" w:cs="Times New Roman"/>
          <w:highlight w:val="none"/>
        </w:rPr>
        <w:t>时</w:t>
      </w:r>
      <w:r>
        <w:rPr>
          <w:rFonts w:hint="eastAsia" w:ascii="Times New Roman" w:hAnsi="Times New Roman" w:cs="Times New Roman"/>
          <w:highlight w:val="none"/>
          <w:lang w:val="en-US" w:eastAsia="zh-CN"/>
        </w:rPr>
        <w:t>30</w:t>
      </w:r>
      <w:r>
        <w:rPr>
          <w:rFonts w:ascii="Times New Roman" w:hAnsi="Times New Roman" w:cs="Times New Roman"/>
          <w:highlight w:val="none"/>
        </w:rPr>
        <w:t>分</w:t>
      </w:r>
      <w:r>
        <w:rPr>
          <w:rFonts w:hint="eastAsia" w:ascii="Times New Roman" w:hAnsi="Times New Roman" w:cs="Times New Roman"/>
          <w:highlight w:val="none"/>
        </w:rPr>
        <w:t>。</w:t>
      </w:r>
    </w:p>
    <w:p w14:paraId="2D222627">
      <w:pPr>
        <w:pStyle w:val="11"/>
        <w:numPr>
          <w:ilvl w:val="255"/>
          <w:numId w:val="0"/>
        </w:numPr>
        <w:spacing w:line="360" w:lineRule="auto"/>
        <w:ind w:firstLine="630" w:firstLineChars="300"/>
        <w:rPr>
          <w:rFonts w:ascii="Times New Roman" w:hAnsi="Times New Roman" w:cs="Times New Roman"/>
          <w:highlight w:val="none"/>
        </w:rPr>
      </w:pPr>
      <w:r>
        <w:rPr>
          <w:rFonts w:hint="eastAsia" w:ascii="Times New Roman" w:hAnsi="Times New Roman" w:cs="Times New Roman"/>
          <w:highlight w:val="none"/>
        </w:rPr>
        <w:t>6.2.2</w:t>
      </w:r>
      <w:r>
        <w:rPr>
          <w:rFonts w:ascii="Times New Roman" w:hAnsi="Times New Roman" w:cs="Times New Roman"/>
          <w:highlight w:val="none"/>
        </w:rPr>
        <w:t>递交地点：</w:t>
      </w:r>
      <w:r>
        <w:rPr>
          <w:rFonts w:hint="eastAsia" w:ascii="Times New Roman" w:hAnsi="Times New Roman" w:cs="Times New Roman"/>
          <w:highlight w:val="none"/>
          <w:lang w:eastAsia="zh-CN"/>
        </w:rPr>
        <w:t>成都市高新区创业路1号剑恒发展中心商业楼2楼会议室（洽谈室二）</w:t>
      </w:r>
      <w:r>
        <w:rPr>
          <w:rFonts w:hint="eastAsia" w:ascii="Times New Roman" w:hAnsi="Times New Roman" w:cs="Times New Roman"/>
          <w:highlight w:val="none"/>
        </w:rPr>
        <w:t>。</w:t>
      </w:r>
    </w:p>
    <w:p w14:paraId="57879164">
      <w:pPr>
        <w:pStyle w:val="11"/>
        <w:numPr>
          <w:ilvl w:val="255"/>
          <w:numId w:val="0"/>
        </w:numPr>
        <w:spacing w:line="360" w:lineRule="auto"/>
        <w:ind w:firstLine="630" w:firstLineChars="300"/>
        <w:rPr>
          <w:rFonts w:ascii="Times New Roman" w:hAnsi="Times New Roman" w:cs="Times New Roman"/>
          <w:highlight w:val="none"/>
        </w:rPr>
      </w:pPr>
      <w:r>
        <w:rPr>
          <w:rFonts w:hint="eastAsia" w:ascii="Times New Roman" w:hAnsi="Times New Roman" w:cs="Times New Roman"/>
          <w:highlight w:val="none"/>
        </w:rPr>
        <w:t>6.2.3</w:t>
      </w:r>
      <w:r>
        <w:rPr>
          <w:rFonts w:ascii="Times New Roman" w:hAnsi="Times New Roman" w:cs="Times New Roman"/>
          <w:highlight w:val="none"/>
        </w:rPr>
        <w:t>逾期递交的或者未递交到指定地点的比选申请文件，比选人不予受理</w:t>
      </w:r>
      <w:r>
        <w:rPr>
          <w:rFonts w:hint="eastAsia" w:ascii="Times New Roman" w:hAnsi="Times New Roman" w:cs="Times New Roman"/>
          <w:highlight w:val="none"/>
        </w:rPr>
        <w:t>。</w:t>
      </w:r>
    </w:p>
    <w:p w14:paraId="6BAD5031">
      <w:pPr>
        <w:pStyle w:val="11"/>
        <w:spacing w:line="360" w:lineRule="auto"/>
        <w:ind w:firstLine="420" w:firstLineChars="200"/>
        <w:rPr>
          <w:rFonts w:ascii="Times New Roman" w:hAnsi="Times New Roman" w:cs="Times New Roman"/>
          <w:highlight w:val="none"/>
        </w:rPr>
      </w:pPr>
      <w:r>
        <w:rPr>
          <w:rFonts w:hint="eastAsia" w:ascii="Times New Roman" w:hAnsi="Times New Roman" w:cs="Times New Roman"/>
          <w:highlight w:val="none"/>
        </w:rPr>
        <w:t xml:space="preserve">  6.2.4</w:t>
      </w:r>
      <w:r>
        <w:rPr>
          <w:rFonts w:ascii="Times New Roman" w:hAnsi="Times New Roman" w:cs="Times New Roman"/>
          <w:highlight w:val="none"/>
        </w:rPr>
        <w:t>比选申请人如未参加开标的将视为默认开标结果。</w:t>
      </w:r>
    </w:p>
    <w:p w14:paraId="19002257">
      <w:pPr>
        <w:numPr>
          <w:ilvl w:val="0"/>
          <w:numId w:val="1"/>
        </w:numPr>
        <w:spacing w:line="360" w:lineRule="auto"/>
        <w:outlineLvl w:val="0"/>
        <w:rPr>
          <w:rFonts w:ascii="Times New Roman" w:hAnsi="Times New Roman" w:cs="Times New Roman"/>
          <w:b/>
          <w:color w:val="000000"/>
          <w:sz w:val="28"/>
          <w:szCs w:val="28"/>
          <w:highlight w:val="none"/>
        </w:rPr>
      </w:pPr>
      <w:bookmarkStart w:id="9" w:name="_Toc29026"/>
      <w:r>
        <w:rPr>
          <w:rFonts w:ascii="Times New Roman" w:hAnsi="Times New Roman" w:cs="Times New Roman"/>
          <w:b/>
          <w:color w:val="000000"/>
          <w:sz w:val="28"/>
          <w:szCs w:val="28"/>
          <w:highlight w:val="none"/>
        </w:rPr>
        <w:t>发布公告的媒介</w:t>
      </w:r>
      <w:bookmarkEnd w:id="9"/>
    </w:p>
    <w:p w14:paraId="0963FD9A">
      <w:pPr>
        <w:pStyle w:val="2"/>
        <w:widowControl/>
        <w:shd w:val="clear" w:color="auto" w:fill="FFFFFF"/>
        <w:ind w:firstLine="560" w:firstLineChars="200"/>
        <w:jc w:val="left"/>
        <w:rPr>
          <w:kern w:val="0"/>
          <w:szCs w:val="21"/>
          <w:highlight w:val="none"/>
        </w:rPr>
      </w:pPr>
      <w:r>
        <w:rPr>
          <w:rFonts w:hint="eastAsia" w:ascii="Times New Roman" w:hAnsi="Times New Roman" w:cs="Times New Roman"/>
          <w:b/>
          <w:color w:val="000000"/>
          <w:sz w:val="28"/>
          <w:szCs w:val="28"/>
          <w:highlight w:val="none"/>
          <w:lang w:val="en-US" w:eastAsia="zh-CN"/>
        </w:rPr>
        <w:t xml:space="preserve"> </w:t>
      </w:r>
      <w:r>
        <w:rPr>
          <w:rFonts w:hint="default" w:ascii="Times New Roman" w:hAnsi="Times New Roman" w:cs="Times New Roman"/>
          <w:b w:val="0"/>
          <w:bCs w:val="0"/>
          <w:color w:val="auto"/>
          <w:kern w:val="2"/>
          <w:sz w:val="21"/>
          <w:szCs w:val="21"/>
          <w:highlight w:val="none"/>
          <w:lang w:val="en-US" w:eastAsia="zh-CN"/>
        </w:rPr>
        <w:t xml:space="preserve"> </w:t>
      </w:r>
      <w:bookmarkStart w:id="10" w:name="_Toc23435"/>
      <w:bookmarkStart w:id="11" w:name="OLE_LINK2"/>
      <w:r>
        <w:rPr>
          <w:rFonts w:eastAsia="宋体"/>
          <w:b w:val="0"/>
          <w:bCs w:val="0"/>
          <w:kern w:val="2"/>
          <w:sz w:val="21"/>
          <w:szCs w:val="21"/>
          <w:highlight w:val="none"/>
        </w:rPr>
        <w:t>本次比选公</w:t>
      </w:r>
      <w:r>
        <w:rPr>
          <w:rFonts w:hint="default" w:eastAsia="宋体"/>
          <w:b w:val="0"/>
          <w:bCs w:val="0"/>
          <w:kern w:val="2"/>
          <w:sz w:val="21"/>
          <w:szCs w:val="21"/>
          <w:highlight w:val="none"/>
        </w:rPr>
        <w:t>告</w:t>
      </w:r>
      <w:r>
        <w:rPr>
          <w:rFonts w:hint="default" w:eastAsia="宋体"/>
          <w:b w:val="0"/>
          <w:bCs w:val="0"/>
          <w:kern w:val="2"/>
          <w:sz w:val="21"/>
          <w:szCs w:val="21"/>
          <w:highlight w:val="none"/>
          <w:lang w:eastAsia="zh-CN"/>
        </w:rPr>
        <w:t>、</w:t>
      </w:r>
      <w:r>
        <w:rPr>
          <w:rFonts w:hint="default" w:eastAsia="宋体"/>
          <w:b w:val="0"/>
          <w:bCs w:val="0"/>
          <w:kern w:val="2"/>
          <w:sz w:val="21"/>
          <w:szCs w:val="21"/>
          <w:highlight w:val="none"/>
          <w:lang w:val="en-US" w:eastAsia="zh-CN"/>
        </w:rPr>
        <w:t>比选文件</w:t>
      </w:r>
      <w:r>
        <w:rPr>
          <w:rFonts w:hint="default" w:eastAsia="宋体"/>
          <w:b w:val="0"/>
          <w:bCs w:val="0"/>
          <w:kern w:val="2"/>
          <w:sz w:val="21"/>
          <w:szCs w:val="21"/>
          <w:highlight w:val="none"/>
        </w:rPr>
        <w:t>和相关公示在四川</w:t>
      </w:r>
      <w:r>
        <w:rPr>
          <w:rFonts w:eastAsia="宋体"/>
          <w:b w:val="0"/>
          <w:bCs w:val="0"/>
          <w:kern w:val="2"/>
          <w:sz w:val="21"/>
          <w:szCs w:val="21"/>
          <w:highlight w:val="none"/>
        </w:rPr>
        <w:t>蜀道新能源科技发展有限公司网站（http://www.sdxnykj.cn/）上发布。</w:t>
      </w:r>
      <w:bookmarkEnd w:id="10"/>
    </w:p>
    <w:bookmarkEnd w:id="11"/>
    <w:p w14:paraId="48AFFB09">
      <w:pPr>
        <w:spacing w:line="360" w:lineRule="auto"/>
        <w:outlineLvl w:val="0"/>
        <w:rPr>
          <w:rFonts w:ascii="Times New Roman" w:hAnsi="Times New Roman" w:cs="Times New Roman"/>
          <w:b/>
          <w:color w:val="000000"/>
          <w:sz w:val="28"/>
          <w:szCs w:val="28"/>
          <w:highlight w:val="none"/>
        </w:rPr>
      </w:pPr>
      <w:bookmarkStart w:id="12" w:name="_Toc30338"/>
      <w:r>
        <w:rPr>
          <w:rFonts w:ascii="Times New Roman" w:hAnsi="Times New Roman" w:cs="Times New Roman"/>
          <w:b/>
          <w:color w:val="000000"/>
          <w:sz w:val="28"/>
          <w:szCs w:val="28"/>
          <w:highlight w:val="none"/>
        </w:rPr>
        <w:t>8．联系方式</w:t>
      </w:r>
      <w:bookmarkEnd w:id="12"/>
    </w:p>
    <w:p w14:paraId="5974DFD8">
      <w:pPr>
        <w:spacing w:line="360" w:lineRule="auto"/>
        <w:ind w:right="480" w:firstLine="420" w:firstLineChars="200"/>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比选人</w:t>
      </w:r>
      <w:r>
        <w:rPr>
          <w:rFonts w:ascii="Times New Roman" w:hAnsi="Times New Roman" w:cs="Times New Roman"/>
          <w:color w:val="000000"/>
          <w:szCs w:val="21"/>
          <w:highlight w:val="none"/>
        </w:rPr>
        <w:t>：四川蜀道新能源科技发展有限公司</w:t>
      </w:r>
    </w:p>
    <w:p w14:paraId="3876D7C3">
      <w:pPr>
        <w:spacing w:line="360" w:lineRule="auto"/>
        <w:ind w:right="480"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地  址：</w:t>
      </w:r>
      <w:r>
        <w:rPr>
          <w:rFonts w:ascii="Times New Roman" w:hAnsi="Times New Roman" w:cs="Times New Roman"/>
          <w:color w:val="000000"/>
          <w:kern w:val="0"/>
          <w:szCs w:val="21"/>
          <w:highlight w:val="none"/>
        </w:rPr>
        <w:t>成都市高新区创业路1号剑恒发展中心</w:t>
      </w:r>
      <w:r>
        <w:rPr>
          <w:rFonts w:hint="eastAsia" w:ascii="Times New Roman" w:hAnsi="Times New Roman" w:cs="Times New Roman"/>
          <w:color w:val="000000"/>
          <w:kern w:val="0"/>
          <w:szCs w:val="21"/>
          <w:highlight w:val="none"/>
          <w:lang w:val="en-US" w:eastAsia="zh-CN"/>
        </w:rPr>
        <w:t>2</w:t>
      </w:r>
      <w:r>
        <w:rPr>
          <w:rFonts w:ascii="Times New Roman" w:hAnsi="Times New Roman" w:cs="Times New Roman"/>
          <w:color w:val="000000"/>
          <w:kern w:val="0"/>
          <w:szCs w:val="21"/>
          <w:highlight w:val="none"/>
        </w:rPr>
        <w:t>楼</w:t>
      </w:r>
    </w:p>
    <w:p w14:paraId="0EAFD7B8">
      <w:pPr>
        <w:spacing w:line="360" w:lineRule="auto"/>
        <w:ind w:right="480" w:firstLine="420" w:firstLineChars="200"/>
        <w:rPr>
          <w:rFonts w:hint="default" w:ascii="Times New Roman" w:hAnsi="Times New Roman" w:cs="Times New Roman"/>
          <w:color w:val="000000"/>
          <w:szCs w:val="21"/>
          <w:highlight w:val="none"/>
          <w:lang w:val="en-US" w:eastAsia="zh-CN"/>
        </w:rPr>
      </w:pPr>
      <w:r>
        <w:rPr>
          <w:rFonts w:ascii="Times New Roman" w:hAnsi="Times New Roman" w:cs="Times New Roman"/>
          <w:color w:val="000000"/>
          <w:szCs w:val="21"/>
          <w:highlight w:val="none"/>
        </w:rPr>
        <w:t>联系人：</w:t>
      </w:r>
      <w:r>
        <w:rPr>
          <w:rFonts w:hint="eastAsia" w:ascii="Times New Roman" w:hAnsi="Times New Roman" w:cs="Times New Roman"/>
          <w:color w:val="000000"/>
          <w:szCs w:val="21"/>
          <w:highlight w:val="none"/>
          <w:lang w:val="en-US" w:eastAsia="zh-CN"/>
        </w:rPr>
        <w:t>杨先生</w:t>
      </w:r>
    </w:p>
    <w:p w14:paraId="06F5A4C3">
      <w:pPr>
        <w:widowControl/>
        <w:spacing w:line="360" w:lineRule="auto"/>
        <w:ind w:right="0" w:firstLine="420" w:firstLineChars="200"/>
        <w:rPr>
          <w:rFonts w:hint="default" w:ascii="宋体" w:hAnsi="宋体" w:eastAsia="宋体" w:cs="Times New Roman"/>
          <w:kern w:val="0"/>
          <w:szCs w:val="21"/>
          <w:highlight w:val="none"/>
          <w:lang w:val="en-US" w:eastAsia="zh-CN"/>
        </w:rPr>
      </w:pPr>
      <w:r>
        <w:rPr>
          <w:rFonts w:ascii="Times New Roman" w:hAnsi="Times New Roman" w:cs="Times New Roman"/>
          <w:color w:val="000000"/>
          <w:szCs w:val="21"/>
          <w:highlight w:val="none"/>
        </w:rPr>
        <w:t>电  话</w:t>
      </w:r>
      <w:r>
        <w:rPr>
          <w:rFonts w:hint="eastAsia" w:ascii="Times New Roman" w:hAnsi="Times New Roman" w:eastAsia="宋体" w:cs="Times New Roman"/>
          <w:color w:val="000000"/>
          <w:szCs w:val="21"/>
          <w:highlight w:val="none"/>
        </w:rPr>
        <w:t>：</w:t>
      </w:r>
      <w:bookmarkStart w:id="13" w:name="OLE_LINK3"/>
      <w:r>
        <w:rPr>
          <w:rFonts w:hint="eastAsia" w:ascii="Times New Roman" w:hAnsi="Times New Roman" w:cs="Times New Roman"/>
          <w:color w:val="000000"/>
          <w:szCs w:val="21"/>
          <w:highlight w:val="none"/>
          <w:lang w:eastAsia="zh-CN"/>
        </w:rPr>
        <w:t>028-63911700</w:t>
      </w:r>
      <w:bookmarkEnd w:id="13"/>
    </w:p>
    <w:p w14:paraId="60337F50">
      <w:pPr>
        <w:spacing w:line="360" w:lineRule="auto"/>
        <w:ind w:right="480" w:firstLine="420" w:firstLineChars="200"/>
        <w:rPr>
          <w:rFonts w:hint="eastAsia" w:ascii="宋体" w:hAnsi="宋体" w:cs="Times New Roman"/>
          <w:kern w:val="0"/>
          <w:szCs w:val="21"/>
          <w:highlight w:val="none"/>
        </w:rPr>
      </w:pPr>
      <w:r>
        <w:rPr>
          <w:rFonts w:hint="eastAsia" w:ascii="宋体" w:hAnsi="宋体" w:cs="Times New Roman"/>
          <w:kern w:val="0"/>
          <w:szCs w:val="21"/>
          <w:highlight w:val="none"/>
        </w:rPr>
        <w:t>监督机构：四川蜀道新能源科技发展有限公司招标</w:t>
      </w:r>
      <w:r>
        <w:rPr>
          <w:rFonts w:hint="eastAsia" w:ascii="宋体" w:hAnsi="宋体" w:cs="Times New Roman"/>
          <w:kern w:val="0"/>
          <w:szCs w:val="21"/>
          <w:highlight w:val="none"/>
          <w:lang w:eastAsia="zh-CN"/>
        </w:rPr>
        <w:t>工作</w:t>
      </w:r>
      <w:r>
        <w:rPr>
          <w:rFonts w:hint="eastAsia" w:ascii="宋体" w:hAnsi="宋体" w:cs="Times New Roman"/>
          <w:kern w:val="0"/>
          <w:szCs w:val="21"/>
          <w:highlight w:val="none"/>
        </w:rPr>
        <w:t>领导小组</w:t>
      </w:r>
    </w:p>
    <w:p w14:paraId="177902C5">
      <w:pPr>
        <w:spacing w:line="360" w:lineRule="auto"/>
        <w:ind w:right="480" w:firstLine="420" w:firstLineChars="200"/>
        <w:rPr>
          <w:rFonts w:hint="default" w:ascii="Times New Roman" w:hAnsi="Times New Roman" w:eastAsia="宋体" w:cs="Times New Roman"/>
          <w:color w:val="auto"/>
          <w:szCs w:val="21"/>
          <w:highlight w:val="none"/>
          <w:lang w:val="en-US" w:eastAsia="zh-CN"/>
        </w:rPr>
      </w:pPr>
      <w:r>
        <w:rPr>
          <w:rFonts w:hint="eastAsia" w:ascii="宋体" w:hAnsi="宋体" w:cs="Times New Roman"/>
          <w:kern w:val="0"/>
          <w:szCs w:val="21"/>
          <w:highlight w:val="none"/>
        </w:rPr>
        <w:t>监督电</w:t>
      </w:r>
      <w:r>
        <w:rPr>
          <w:rFonts w:hint="eastAsia" w:ascii="宋体" w:hAnsi="宋体" w:cs="Times New Roman"/>
          <w:color w:val="auto"/>
          <w:kern w:val="0"/>
          <w:szCs w:val="21"/>
          <w:highlight w:val="none"/>
        </w:rPr>
        <w:t>话：</w:t>
      </w:r>
      <w:r>
        <w:rPr>
          <w:rFonts w:hint="eastAsia" w:ascii="Times New Roman" w:hAnsi="Times New Roman" w:cs="Times New Roman"/>
          <w:color w:val="auto"/>
          <w:kern w:val="2"/>
          <w:szCs w:val="21"/>
          <w:highlight w:val="none"/>
        </w:rPr>
        <w:t>028-</w:t>
      </w:r>
      <w:r>
        <w:rPr>
          <w:rFonts w:hint="eastAsia" w:ascii="Times New Roman" w:hAnsi="Times New Roman" w:cs="Times New Roman"/>
          <w:color w:val="auto"/>
          <w:kern w:val="2"/>
          <w:szCs w:val="21"/>
          <w:highlight w:val="none"/>
          <w:lang w:eastAsia="zh-CN"/>
        </w:rPr>
        <w:t>61520906</w:t>
      </w:r>
    </w:p>
    <w:p w14:paraId="61FFF979">
      <w:pPr>
        <w:pStyle w:val="20"/>
        <w:ind w:firstLine="0" w:firstLineChars="0"/>
        <w:rPr>
          <w:rFonts w:hint="eastAsia"/>
          <w:highlight w:val="none"/>
        </w:rPr>
      </w:pPr>
    </w:p>
    <w:p w14:paraId="64D01A84">
      <w:pPr>
        <w:tabs>
          <w:tab w:val="left" w:pos="5220"/>
          <w:tab w:val="left" w:pos="5400"/>
          <w:tab w:val="left" w:pos="5580"/>
        </w:tabs>
        <w:autoSpaceDE w:val="0"/>
        <w:autoSpaceDN w:val="0"/>
        <w:adjustRightInd w:val="0"/>
        <w:spacing w:line="360" w:lineRule="auto"/>
        <w:jc w:val="right"/>
        <w:rPr>
          <w:rFonts w:ascii="Times New Roman" w:hAnsi="Times New Roman" w:cs="Times New Roman"/>
          <w:szCs w:val="21"/>
          <w:highlight w:val="none"/>
        </w:rPr>
      </w:pPr>
      <w:r>
        <w:rPr>
          <w:rFonts w:hint="eastAsia" w:ascii="Times New Roman" w:hAnsi="Times New Roman" w:cs="Times New Roman"/>
          <w:szCs w:val="21"/>
          <w:highlight w:val="none"/>
        </w:rPr>
        <w:t>比选人</w:t>
      </w:r>
      <w:r>
        <w:rPr>
          <w:rFonts w:ascii="Times New Roman" w:hAnsi="Times New Roman" w:cs="Times New Roman"/>
          <w:szCs w:val="21"/>
          <w:highlight w:val="none"/>
        </w:rPr>
        <w:t>：四川蜀道新能源科技发展有限公司</w:t>
      </w:r>
    </w:p>
    <w:p w14:paraId="2CB97B42">
      <w:pPr>
        <w:tabs>
          <w:tab w:val="left" w:pos="5220"/>
          <w:tab w:val="left" w:pos="5400"/>
          <w:tab w:val="left" w:pos="5580"/>
        </w:tabs>
        <w:autoSpaceDE w:val="0"/>
        <w:autoSpaceDN w:val="0"/>
        <w:adjustRightInd w:val="0"/>
        <w:jc w:val="both"/>
        <w:rPr>
          <w:sz w:val="36"/>
          <w:szCs w:val="36"/>
          <w:highlight w:val="red"/>
        </w:rPr>
      </w:pPr>
      <w:r>
        <w:rPr>
          <w:rFonts w:ascii="Times New Roman" w:hAnsi="Times New Roman" w:cs="Times New Roman"/>
          <w:szCs w:val="21"/>
          <w:highlight w:val="none"/>
        </w:rPr>
        <w:t xml:space="preserve">   </w:t>
      </w:r>
      <w:r>
        <w:rPr>
          <w:rFonts w:hint="eastAsia" w:ascii="Times New Roman" w:hAnsi="Times New Roman" w:cs="Times New Roman"/>
          <w:szCs w:val="21"/>
          <w:highlight w:val="none"/>
          <w:lang w:val="en-US" w:eastAsia="zh-CN"/>
        </w:rPr>
        <w:t xml:space="preserve">                                                    </w:t>
      </w:r>
      <w:r>
        <w:rPr>
          <w:rFonts w:hint="eastAsia" w:ascii="Times New Roman" w:hAnsi="Times New Roman" w:cs="Times New Roman"/>
          <w:szCs w:val="21"/>
          <w:highlight w:val="none"/>
          <w:lang w:eastAsia="zh-CN"/>
        </w:rPr>
        <w:t>202</w:t>
      </w:r>
      <w:r>
        <w:rPr>
          <w:rFonts w:hint="eastAsia" w:ascii="Times New Roman" w:hAnsi="Times New Roman" w:cs="Times New Roman"/>
          <w:szCs w:val="21"/>
          <w:highlight w:val="none"/>
          <w:lang w:val="en-US" w:eastAsia="zh-CN"/>
        </w:rPr>
        <w:t>6</w:t>
      </w:r>
      <w:r>
        <w:rPr>
          <w:rFonts w:ascii="Times New Roman" w:hAnsi="Times New Roman" w:cs="Times New Roman"/>
          <w:szCs w:val="21"/>
          <w:highlight w:val="none"/>
        </w:rPr>
        <w:t>年</w:t>
      </w:r>
      <w:r>
        <w:rPr>
          <w:rFonts w:hint="eastAsia" w:ascii="Times New Roman" w:hAnsi="Times New Roman" w:cs="Times New Roman"/>
          <w:szCs w:val="21"/>
          <w:highlight w:val="none"/>
          <w:lang w:val="en-US" w:eastAsia="zh-CN"/>
        </w:rPr>
        <w:t>9</w:t>
      </w:r>
      <w:r>
        <w:rPr>
          <w:rFonts w:ascii="Times New Roman" w:hAnsi="Times New Roman" w:cs="Times New Roman"/>
          <w:szCs w:val="21"/>
          <w:highlight w:val="none"/>
        </w:rPr>
        <w:t>月</w:t>
      </w:r>
      <w:r>
        <w:rPr>
          <w:rFonts w:hint="eastAsia" w:ascii="Times New Roman" w:hAnsi="Times New Roman" w:cs="Times New Roman"/>
          <w:szCs w:val="21"/>
          <w:highlight w:val="none"/>
          <w:lang w:val="en-US" w:eastAsia="zh-CN"/>
        </w:rPr>
        <w:t>15</w:t>
      </w:r>
      <w:r>
        <w:rPr>
          <w:rFonts w:ascii="Times New Roman" w:hAnsi="Times New Roman" w:cs="Times New Roman"/>
          <w:szCs w:val="21"/>
          <w:highlight w:val="none"/>
        </w:rPr>
        <w:t>日</w:t>
      </w:r>
    </w:p>
    <w:p w14:paraId="3C06C6F4">
      <w:pPr>
        <w:jc w:val="center"/>
      </w:pPr>
    </w:p>
    <w:p w14:paraId="19B6A97F">
      <w:pPr>
        <w:jc w:val="center"/>
      </w:pPr>
    </w:p>
    <w:p w14:paraId="4F272329">
      <w:pPr>
        <w:rPr>
          <w:sz w:val="36"/>
          <w:szCs w:val="36"/>
          <w:highlight w:val="none"/>
        </w:rPr>
      </w:pPr>
    </w:p>
    <w:p w14:paraId="2F1A8CC5">
      <w:pPr>
        <w:pStyle w:val="14"/>
      </w:pPr>
    </w:p>
    <w:p w14:paraId="7FE9C8CC"/>
    <w:p w14:paraId="411FB021">
      <w:bookmarkStart w:id="33" w:name="_GoBack"/>
      <w:bookmarkEnd w:id="33"/>
    </w:p>
    <w:p w14:paraId="2B103F31"/>
    <w:p w14:paraId="0306F0AD"/>
    <w:p w14:paraId="152A487B">
      <w:pPr>
        <w:rPr>
          <w:sz w:val="36"/>
          <w:szCs w:val="36"/>
          <w:highlight w:val="none"/>
        </w:rPr>
      </w:pPr>
    </w:p>
    <w:p w14:paraId="2AD631BC"/>
    <w:p w14:paraId="7F92153C">
      <w:pPr>
        <w:jc w:val="center"/>
        <w:rPr>
          <w:sz w:val="36"/>
          <w:szCs w:val="36"/>
          <w:highlight w:val="none"/>
        </w:rPr>
      </w:pPr>
      <w:bookmarkStart w:id="14" w:name="_Toc24245"/>
      <w:r>
        <w:rPr>
          <w:sz w:val="36"/>
          <w:szCs w:val="36"/>
          <w:highlight w:val="none"/>
        </w:rPr>
        <w:br w:type="page"/>
      </w:r>
    </w:p>
    <w:p w14:paraId="45960ED0">
      <w:pPr>
        <w:pStyle w:val="2"/>
        <w:jc w:val="center"/>
        <w:rPr>
          <w:bCs w:val="0"/>
          <w:color w:val="000000"/>
          <w:sz w:val="28"/>
          <w:szCs w:val="28"/>
          <w:highlight w:val="none"/>
        </w:rPr>
      </w:pPr>
      <w:r>
        <w:rPr>
          <w:sz w:val="36"/>
          <w:szCs w:val="36"/>
          <w:highlight w:val="none"/>
        </w:rPr>
        <w:t xml:space="preserve">第二章   </w:t>
      </w:r>
      <w:r>
        <w:rPr>
          <w:rFonts w:hint="eastAsia"/>
          <w:sz w:val="36"/>
          <w:szCs w:val="36"/>
          <w:highlight w:val="none"/>
        </w:rPr>
        <w:t>比选申请人</w:t>
      </w:r>
      <w:r>
        <w:rPr>
          <w:sz w:val="36"/>
          <w:szCs w:val="36"/>
          <w:highlight w:val="none"/>
        </w:rPr>
        <w:t>须知</w:t>
      </w:r>
      <w:bookmarkEnd w:id="14"/>
    </w:p>
    <w:p w14:paraId="096AD842">
      <w:pPr>
        <w:pStyle w:val="3"/>
        <w:spacing w:line="240" w:lineRule="auto"/>
        <w:jc w:val="center"/>
        <w:rPr>
          <w:rFonts w:hint="eastAsia" w:ascii="黑体" w:hAnsi="黑体" w:eastAsia="黑体" w:cs="黑体"/>
          <w:bCs w:val="0"/>
          <w:color w:val="000000"/>
          <w:sz w:val="28"/>
          <w:szCs w:val="28"/>
          <w:highlight w:val="none"/>
        </w:rPr>
      </w:pPr>
      <w:r>
        <w:rPr>
          <w:rFonts w:hint="eastAsia" w:ascii="黑体" w:hAnsi="黑体" w:eastAsia="黑体" w:cs="黑体"/>
          <w:bCs w:val="0"/>
          <w:color w:val="000000"/>
          <w:sz w:val="28"/>
          <w:szCs w:val="28"/>
          <w:highlight w:val="none"/>
        </w:rPr>
        <w:t>比选申请人须知前附表</w:t>
      </w:r>
    </w:p>
    <w:p w14:paraId="02BCA30C">
      <w:pPr>
        <w:tabs>
          <w:tab w:val="left" w:pos="5220"/>
          <w:tab w:val="left" w:pos="5400"/>
          <w:tab w:val="left" w:pos="5580"/>
        </w:tabs>
        <w:autoSpaceDE w:val="0"/>
        <w:autoSpaceDN w:val="0"/>
        <w:ind w:firstLine="420" w:firstLineChars="200"/>
        <w:rPr>
          <w:rFonts w:ascii="Times New Roman" w:hAnsi="Times New Roman" w:cs="Times New Roman"/>
          <w:highlight w:val="none"/>
        </w:rPr>
      </w:pPr>
      <w:r>
        <w:rPr>
          <w:rFonts w:ascii="Times New Roman" w:hAnsi="Times New Roman" w:cs="Times New Roman"/>
          <w:kern w:val="0"/>
          <w:szCs w:val="21"/>
          <w:highlight w:val="none"/>
        </w:rPr>
        <w:t>《</w:t>
      </w:r>
      <w:r>
        <w:rPr>
          <w:rFonts w:hint="eastAsia" w:ascii="Times New Roman" w:hAnsi="Times New Roman" w:cs="Times New Roman"/>
          <w:kern w:val="0"/>
          <w:szCs w:val="21"/>
          <w:highlight w:val="none"/>
        </w:rPr>
        <w:t>比选申请人</w:t>
      </w:r>
      <w:r>
        <w:rPr>
          <w:rFonts w:ascii="Times New Roman" w:hAnsi="Times New Roman" w:cs="Times New Roman"/>
          <w:kern w:val="0"/>
          <w:szCs w:val="21"/>
          <w:highlight w:val="none"/>
        </w:rPr>
        <w:t>须知前附表》是用于进一步明确《</w:t>
      </w:r>
      <w:r>
        <w:rPr>
          <w:rFonts w:hint="eastAsia" w:ascii="Times New Roman" w:hAnsi="Times New Roman" w:cs="Times New Roman"/>
          <w:kern w:val="0"/>
          <w:szCs w:val="21"/>
          <w:highlight w:val="none"/>
        </w:rPr>
        <w:t>比选申请人</w:t>
      </w:r>
      <w:r>
        <w:rPr>
          <w:rFonts w:ascii="Times New Roman" w:hAnsi="Times New Roman" w:cs="Times New Roman"/>
          <w:kern w:val="0"/>
          <w:szCs w:val="21"/>
          <w:highlight w:val="none"/>
        </w:rPr>
        <w:t>须知》正文中的未尽事宜，由</w:t>
      </w:r>
      <w:r>
        <w:rPr>
          <w:rFonts w:hint="eastAsia" w:ascii="Times New Roman" w:hAnsi="Times New Roman" w:cs="Times New Roman"/>
          <w:kern w:val="0"/>
          <w:szCs w:val="21"/>
          <w:highlight w:val="none"/>
        </w:rPr>
        <w:t>比选人</w:t>
      </w:r>
      <w:r>
        <w:rPr>
          <w:rFonts w:ascii="Times New Roman" w:hAnsi="Times New Roman" w:cs="Times New Roman"/>
          <w:kern w:val="0"/>
          <w:szCs w:val="21"/>
          <w:highlight w:val="none"/>
        </w:rPr>
        <w:t>根据本项目具体特点和实际需要编制和填写，与《</w:t>
      </w:r>
      <w:r>
        <w:rPr>
          <w:rFonts w:hint="eastAsia" w:ascii="Times New Roman" w:hAnsi="Times New Roman" w:cs="Times New Roman"/>
          <w:kern w:val="0"/>
          <w:szCs w:val="21"/>
          <w:highlight w:val="none"/>
        </w:rPr>
        <w:t>比选申请人</w:t>
      </w:r>
      <w:r>
        <w:rPr>
          <w:rFonts w:ascii="Times New Roman" w:hAnsi="Times New Roman" w:cs="Times New Roman"/>
          <w:kern w:val="0"/>
          <w:szCs w:val="21"/>
          <w:highlight w:val="none"/>
        </w:rPr>
        <w:t>须知》正文无抵触且与</w:t>
      </w:r>
      <w:r>
        <w:rPr>
          <w:rFonts w:hint="eastAsia" w:ascii="Times New Roman" w:hAnsi="Times New Roman" w:cs="Times New Roman"/>
          <w:kern w:val="0"/>
          <w:szCs w:val="21"/>
          <w:highlight w:val="none"/>
        </w:rPr>
        <w:t>比选</w:t>
      </w:r>
      <w:r>
        <w:rPr>
          <w:rFonts w:ascii="Times New Roman" w:hAnsi="Times New Roman" w:cs="Times New Roman"/>
          <w:kern w:val="0"/>
          <w:szCs w:val="21"/>
          <w:highlight w:val="none"/>
        </w:rPr>
        <w:t>文件其他章节相衔接。前附表内容与须知不一致的，以前附表内容为准。</w:t>
      </w:r>
    </w:p>
    <w:tbl>
      <w:tblPr>
        <w:tblStyle w:val="15"/>
        <w:tblW w:w="9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3"/>
        <w:gridCol w:w="1962"/>
        <w:gridCol w:w="6895"/>
      </w:tblGrid>
      <w:tr w14:paraId="059E9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63" w:type="dxa"/>
            <w:vAlign w:val="center"/>
          </w:tcPr>
          <w:p w14:paraId="63D2CB2B">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条款号</w:t>
            </w:r>
          </w:p>
        </w:tc>
        <w:tc>
          <w:tcPr>
            <w:tcW w:w="1962" w:type="dxa"/>
            <w:vAlign w:val="center"/>
          </w:tcPr>
          <w:p w14:paraId="7D8E31BD">
            <w:pPr>
              <w:spacing w:line="360" w:lineRule="auto"/>
              <w:jc w:val="center"/>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条 款 名 称</w:t>
            </w:r>
          </w:p>
        </w:tc>
        <w:tc>
          <w:tcPr>
            <w:tcW w:w="6895" w:type="dxa"/>
            <w:vAlign w:val="center"/>
          </w:tcPr>
          <w:p w14:paraId="2D0874EB">
            <w:pPr>
              <w:spacing w:line="360" w:lineRule="auto"/>
              <w:ind w:left="359" w:leftChars="171"/>
              <w:jc w:val="center"/>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编 列 内 容</w:t>
            </w:r>
          </w:p>
        </w:tc>
      </w:tr>
      <w:tr w14:paraId="0760D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2" w:hRule="atLeast"/>
          <w:jc w:val="center"/>
        </w:trPr>
        <w:tc>
          <w:tcPr>
            <w:tcW w:w="863" w:type="dxa"/>
            <w:vAlign w:val="center"/>
          </w:tcPr>
          <w:p w14:paraId="4A55CEB1">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1</w:t>
            </w:r>
          </w:p>
        </w:tc>
        <w:tc>
          <w:tcPr>
            <w:tcW w:w="1962" w:type="dxa"/>
            <w:vAlign w:val="center"/>
          </w:tcPr>
          <w:p w14:paraId="4166E8E4">
            <w:pPr>
              <w:spacing w:line="360" w:lineRule="auto"/>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比选人</w:t>
            </w:r>
          </w:p>
        </w:tc>
        <w:tc>
          <w:tcPr>
            <w:tcW w:w="6895" w:type="dxa"/>
            <w:vAlign w:val="center"/>
          </w:tcPr>
          <w:p w14:paraId="3E4F90A1">
            <w:pPr>
              <w:spacing w:line="360" w:lineRule="auto"/>
              <w:ind w:right="480"/>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比选人</w:t>
            </w:r>
            <w:r>
              <w:rPr>
                <w:rFonts w:ascii="Times New Roman" w:hAnsi="Times New Roman" w:cs="Times New Roman"/>
                <w:color w:val="000000"/>
                <w:szCs w:val="21"/>
                <w:highlight w:val="none"/>
              </w:rPr>
              <w:t>：四川蜀道新能源科技发展有限公司</w:t>
            </w:r>
          </w:p>
          <w:p w14:paraId="74588815">
            <w:pPr>
              <w:spacing w:line="360" w:lineRule="auto"/>
              <w:ind w:right="480"/>
              <w:rPr>
                <w:rFonts w:ascii="Times New Roman" w:hAnsi="Times New Roman" w:cs="Times New Roman"/>
                <w:color w:val="000000"/>
                <w:szCs w:val="21"/>
                <w:highlight w:val="none"/>
              </w:rPr>
            </w:pPr>
            <w:r>
              <w:rPr>
                <w:rFonts w:ascii="Times New Roman" w:hAnsi="Times New Roman" w:cs="Times New Roman"/>
                <w:color w:val="000000"/>
                <w:szCs w:val="21"/>
                <w:highlight w:val="none"/>
              </w:rPr>
              <w:t>地  址：</w:t>
            </w:r>
            <w:r>
              <w:rPr>
                <w:rFonts w:ascii="Times New Roman" w:hAnsi="Times New Roman" w:cs="Times New Roman"/>
                <w:color w:val="000000"/>
                <w:kern w:val="0"/>
                <w:szCs w:val="21"/>
                <w:highlight w:val="none"/>
              </w:rPr>
              <w:t>成都市高新区创业路1号剑恒发展中心</w:t>
            </w:r>
            <w:r>
              <w:rPr>
                <w:rFonts w:hint="eastAsia" w:ascii="Times New Roman" w:hAnsi="Times New Roman" w:cs="Times New Roman"/>
                <w:color w:val="000000"/>
                <w:kern w:val="0"/>
                <w:szCs w:val="21"/>
                <w:highlight w:val="none"/>
                <w:lang w:val="en-US" w:eastAsia="zh-CN"/>
              </w:rPr>
              <w:t>2</w:t>
            </w:r>
            <w:r>
              <w:rPr>
                <w:rFonts w:ascii="Times New Roman" w:hAnsi="Times New Roman" w:cs="Times New Roman"/>
                <w:color w:val="000000"/>
                <w:kern w:val="0"/>
                <w:szCs w:val="21"/>
                <w:highlight w:val="none"/>
              </w:rPr>
              <w:t>楼</w:t>
            </w:r>
          </w:p>
          <w:p w14:paraId="0E2BA057">
            <w:pPr>
              <w:spacing w:line="360" w:lineRule="auto"/>
              <w:ind w:right="480"/>
              <w:rPr>
                <w:rFonts w:hint="default" w:ascii="Times New Roman" w:hAnsi="Times New Roman" w:eastAsia="宋体" w:cs="Times New Roman"/>
                <w:color w:val="000000"/>
                <w:szCs w:val="21"/>
                <w:highlight w:val="red"/>
                <w:lang w:val="en-US" w:eastAsia="zh-CN"/>
              </w:rPr>
            </w:pPr>
            <w:r>
              <w:rPr>
                <w:rFonts w:ascii="Times New Roman" w:hAnsi="Times New Roman" w:cs="Times New Roman"/>
                <w:color w:val="000000"/>
                <w:szCs w:val="21"/>
                <w:highlight w:val="none"/>
              </w:rPr>
              <w:t>联系人：</w:t>
            </w:r>
            <w:r>
              <w:rPr>
                <w:rFonts w:hint="eastAsia" w:ascii="Times New Roman" w:hAnsi="Times New Roman" w:cs="Times New Roman"/>
                <w:color w:val="000000"/>
                <w:szCs w:val="21"/>
                <w:highlight w:val="none"/>
                <w:lang w:val="en-US" w:eastAsia="zh-CN"/>
              </w:rPr>
              <w:t>杨先生</w:t>
            </w:r>
          </w:p>
          <w:p w14:paraId="5F3BD559">
            <w:pPr>
              <w:spacing w:line="360" w:lineRule="auto"/>
              <w:ind w:right="480"/>
              <w:rPr>
                <w:rFonts w:hint="default" w:ascii="Times New Roman" w:hAnsi="Times New Roman" w:eastAsia="宋体" w:cs="Times New Roman"/>
                <w:color w:val="000000"/>
                <w:szCs w:val="21"/>
                <w:highlight w:val="none"/>
                <w:lang w:val="en-US" w:eastAsia="zh-CN"/>
              </w:rPr>
            </w:pPr>
            <w:r>
              <w:rPr>
                <w:rFonts w:ascii="Times New Roman" w:hAnsi="Times New Roman" w:cs="Times New Roman"/>
                <w:color w:val="000000"/>
                <w:szCs w:val="21"/>
                <w:highlight w:val="none"/>
              </w:rPr>
              <w:t>电  话：</w:t>
            </w:r>
            <w:r>
              <w:rPr>
                <w:rFonts w:hint="eastAsia" w:ascii="Times New Roman" w:hAnsi="Times New Roman" w:cs="Times New Roman"/>
                <w:color w:val="000000"/>
                <w:szCs w:val="21"/>
                <w:highlight w:val="none"/>
                <w:lang w:eastAsia="zh-CN"/>
              </w:rPr>
              <w:t>028-63911700</w:t>
            </w:r>
          </w:p>
        </w:tc>
      </w:tr>
      <w:tr w14:paraId="1DC84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863" w:type="dxa"/>
            <w:vAlign w:val="center"/>
          </w:tcPr>
          <w:p w14:paraId="4BD8FD88">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2</w:t>
            </w:r>
          </w:p>
        </w:tc>
        <w:tc>
          <w:tcPr>
            <w:tcW w:w="1962" w:type="dxa"/>
            <w:vAlign w:val="center"/>
          </w:tcPr>
          <w:p w14:paraId="3446F2B5">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项目名称</w:t>
            </w:r>
          </w:p>
        </w:tc>
        <w:tc>
          <w:tcPr>
            <w:tcW w:w="6895" w:type="dxa"/>
            <w:vAlign w:val="center"/>
          </w:tcPr>
          <w:p w14:paraId="00283251">
            <w:pPr>
              <w:autoSpaceDE w:val="0"/>
              <w:autoSpaceDN w:val="0"/>
              <w:adjustRightInd w:val="0"/>
              <w:spacing w:line="360" w:lineRule="auto"/>
              <w:ind w:right="-214"/>
              <w:jc w:val="left"/>
              <w:rPr>
                <w:rFonts w:hint="default" w:eastAsia="宋体" w:cs="Times New Roman"/>
                <w:b w:val="0"/>
                <w:bCs w:val="0"/>
                <w:color w:val="000000"/>
                <w:kern w:val="0"/>
                <w:sz w:val="21"/>
                <w:szCs w:val="21"/>
                <w:highlight w:val="none"/>
                <w:lang w:val="en-US" w:eastAsia="zh-CN" w:bidi="en-US"/>
              </w:rPr>
            </w:pPr>
            <w:r>
              <w:rPr>
                <w:rFonts w:hint="eastAsia" w:cs="Times New Roman"/>
                <w:b w:val="0"/>
                <w:bCs w:val="0"/>
                <w:color w:val="000000"/>
                <w:kern w:val="0"/>
                <w:sz w:val="21"/>
                <w:szCs w:val="21"/>
                <w:highlight w:val="none"/>
                <w:lang w:val="en-US" w:eastAsia="zh-CN" w:bidi="en-US"/>
              </w:rPr>
              <w:t>淮口服务区充（换）电站高压改迁工程</w:t>
            </w:r>
          </w:p>
        </w:tc>
      </w:tr>
      <w:tr w14:paraId="5246C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863" w:type="dxa"/>
            <w:vAlign w:val="center"/>
          </w:tcPr>
          <w:p w14:paraId="0FD4B4A2">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3</w:t>
            </w:r>
          </w:p>
        </w:tc>
        <w:tc>
          <w:tcPr>
            <w:tcW w:w="1962" w:type="dxa"/>
            <w:vAlign w:val="center"/>
          </w:tcPr>
          <w:p w14:paraId="085400AB">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建设地点</w:t>
            </w:r>
          </w:p>
        </w:tc>
        <w:tc>
          <w:tcPr>
            <w:tcW w:w="6895" w:type="dxa"/>
            <w:vAlign w:val="center"/>
          </w:tcPr>
          <w:p w14:paraId="14B2CE6D">
            <w:pPr>
              <w:numPr>
                <w:ilvl w:val="-1"/>
                <w:numId w:val="0"/>
              </w:numPr>
              <w:autoSpaceDE w:val="0"/>
              <w:autoSpaceDN w:val="0"/>
              <w:adjustRightInd w:val="0"/>
              <w:spacing w:line="360" w:lineRule="auto"/>
              <w:ind w:left="0" w:leftChars="0" w:right="-214"/>
              <w:jc w:val="left"/>
              <w:rPr>
                <w:rFonts w:hint="default" w:ascii="Times New Roman" w:hAnsi="Times New Roman" w:eastAsia="宋体" w:cs="Times New Roman"/>
                <w:color w:val="000000"/>
                <w:szCs w:val="21"/>
                <w:highlight w:val="none"/>
                <w:lang w:val="en-US" w:eastAsia="zh-CN"/>
              </w:rPr>
            </w:pPr>
            <w:r>
              <w:rPr>
                <w:rFonts w:hint="eastAsia" w:cs="Times New Roman"/>
                <w:b w:val="0"/>
                <w:bCs w:val="0"/>
                <w:color w:val="000000"/>
                <w:kern w:val="0"/>
                <w:sz w:val="21"/>
                <w:szCs w:val="21"/>
                <w:highlight w:val="none"/>
                <w:lang w:val="en-US" w:eastAsia="zh-CN" w:bidi="en-US"/>
              </w:rPr>
              <w:t>沪蓉高速淮口服务区（双向）</w:t>
            </w:r>
          </w:p>
        </w:tc>
      </w:tr>
      <w:tr w14:paraId="1AACA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jc w:val="center"/>
        </w:trPr>
        <w:tc>
          <w:tcPr>
            <w:tcW w:w="863" w:type="dxa"/>
            <w:vAlign w:val="center"/>
          </w:tcPr>
          <w:p w14:paraId="284EBB95">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4</w:t>
            </w:r>
          </w:p>
        </w:tc>
        <w:tc>
          <w:tcPr>
            <w:tcW w:w="1962" w:type="dxa"/>
            <w:vAlign w:val="center"/>
          </w:tcPr>
          <w:p w14:paraId="533CC7B1">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范围</w:t>
            </w:r>
          </w:p>
        </w:tc>
        <w:tc>
          <w:tcPr>
            <w:tcW w:w="6895" w:type="dxa"/>
            <w:vAlign w:val="center"/>
          </w:tcPr>
          <w:p w14:paraId="29EC0670">
            <w:pPr>
              <w:numPr>
                <w:ilvl w:val="0"/>
                <w:numId w:val="0"/>
              </w:numPr>
              <w:spacing w:line="360" w:lineRule="auto"/>
              <w:ind w:right="0"/>
              <w:jc w:val="left"/>
              <w:rPr>
                <w:rFonts w:hint="default" w:ascii="Times New Roman" w:hAnsi="Times New Roman" w:eastAsia="宋体" w:cs="Times New Roman"/>
                <w:color w:val="000000"/>
                <w:highlight w:val="none"/>
                <w:lang w:val="en-US" w:eastAsia="zh-CN"/>
              </w:rPr>
            </w:pPr>
            <w:r>
              <w:rPr>
                <w:rFonts w:hint="eastAsia" w:ascii="Calibri" w:hAnsi="Calibri" w:eastAsia="宋体" w:cs="Times New Roman"/>
                <w:b w:val="0"/>
                <w:bCs w:val="0"/>
                <w:color w:val="000000"/>
                <w:kern w:val="0"/>
                <w:sz w:val="21"/>
                <w:szCs w:val="21"/>
                <w:highlight w:val="none"/>
                <w:u w:val="none"/>
                <w:lang w:val="en-US" w:eastAsia="zh-CN" w:bidi="ar-SA"/>
              </w:rPr>
              <w:t>详比选公告</w:t>
            </w:r>
          </w:p>
        </w:tc>
      </w:tr>
      <w:tr w14:paraId="2BA69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863" w:type="dxa"/>
            <w:vAlign w:val="center"/>
          </w:tcPr>
          <w:p w14:paraId="4B1659DA">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5</w:t>
            </w:r>
          </w:p>
        </w:tc>
        <w:tc>
          <w:tcPr>
            <w:tcW w:w="1962" w:type="dxa"/>
            <w:vAlign w:val="center"/>
          </w:tcPr>
          <w:p w14:paraId="231449A5">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★计划工期</w:t>
            </w:r>
          </w:p>
        </w:tc>
        <w:tc>
          <w:tcPr>
            <w:tcW w:w="6895" w:type="dxa"/>
            <w:vAlign w:val="center"/>
          </w:tcPr>
          <w:p w14:paraId="619BB094">
            <w:pPr>
              <w:numPr>
                <w:ilvl w:val="0"/>
                <w:numId w:val="0"/>
              </w:numPr>
              <w:spacing w:line="360" w:lineRule="auto"/>
              <w:ind w:right="0"/>
              <w:jc w:val="left"/>
              <w:rPr>
                <w:rFonts w:hint="eastAsia" w:ascii="Calibri" w:hAnsi="Calibri" w:eastAsia="宋体" w:cs="Times New Roman"/>
                <w:b w:val="0"/>
                <w:bCs w:val="0"/>
                <w:color w:val="000000"/>
                <w:kern w:val="0"/>
                <w:sz w:val="21"/>
                <w:szCs w:val="21"/>
                <w:highlight w:val="none"/>
                <w:u w:val="none"/>
                <w:lang w:val="en-US" w:eastAsia="zh-CN" w:bidi="ar-SA"/>
              </w:rPr>
            </w:pPr>
            <w:r>
              <w:rPr>
                <w:rFonts w:hint="eastAsia" w:ascii="Calibri" w:hAnsi="Calibri" w:eastAsia="宋体" w:cs="Times New Roman"/>
                <w:b w:val="0"/>
                <w:bCs w:val="0"/>
                <w:color w:val="000000"/>
                <w:kern w:val="0"/>
                <w:sz w:val="21"/>
                <w:szCs w:val="21"/>
                <w:highlight w:val="none"/>
                <w:u w:val="none"/>
                <w:lang w:val="en-US" w:eastAsia="zh-CN" w:bidi="ar-SA"/>
              </w:rPr>
              <w:t>详比选公告</w:t>
            </w:r>
          </w:p>
        </w:tc>
      </w:tr>
      <w:tr w14:paraId="42CCC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863" w:type="dxa"/>
            <w:vAlign w:val="center"/>
          </w:tcPr>
          <w:p w14:paraId="6CC4AE85">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6</w:t>
            </w:r>
          </w:p>
        </w:tc>
        <w:tc>
          <w:tcPr>
            <w:tcW w:w="1962" w:type="dxa"/>
            <w:vAlign w:val="center"/>
          </w:tcPr>
          <w:p w14:paraId="33CDF6C3">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★质量要求</w:t>
            </w:r>
          </w:p>
        </w:tc>
        <w:tc>
          <w:tcPr>
            <w:tcW w:w="6895" w:type="dxa"/>
            <w:vAlign w:val="center"/>
          </w:tcPr>
          <w:p w14:paraId="6EED6CB5">
            <w:pPr>
              <w:numPr>
                <w:ilvl w:val="0"/>
                <w:numId w:val="0"/>
              </w:numPr>
              <w:spacing w:line="360" w:lineRule="auto"/>
              <w:ind w:right="0"/>
              <w:jc w:val="left"/>
              <w:rPr>
                <w:rFonts w:hint="eastAsia" w:ascii="Calibri" w:hAnsi="Calibri" w:eastAsia="宋体" w:cs="Times New Roman"/>
                <w:b w:val="0"/>
                <w:bCs w:val="0"/>
                <w:color w:val="000000"/>
                <w:kern w:val="0"/>
                <w:sz w:val="21"/>
                <w:szCs w:val="21"/>
                <w:highlight w:val="none"/>
                <w:u w:val="none"/>
                <w:lang w:val="en-US" w:eastAsia="zh-CN" w:bidi="ar-SA"/>
              </w:rPr>
            </w:pPr>
            <w:r>
              <w:rPr>
                <w:rFonts w:hint="eastAsia" w:ascii="Calibri" w:hAnsi="Calibri" w:eastAsia="宋体" w:cs="Times New Roman"/>
                <w:b w:val="0"/>
                <w:bCs w:val="0"/>
                <w:color w:val="000000"/>
                <w:kern w:val="0"/>
                <w:sz w:val="21"/>
                <w:szCs w:val="21"/>
                <w:highlight w:val="none"/>
                <w:u w:val="none"/>
                <w:lang w:val="en-US" w:eastAsia="zh-CN" w:bidi="ar-SA"/>
              </w:rPr>
              <w:t>详比选公告</w:t>
            </w:r>
          </w:p>
        </w:tc>
      </w:tr>
      <w:tr w14:paraId="1BB16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863" w:type="dxa"/>
            <w:vAlign w:val="center"/>
          </w:tcPr>
          <w:p w14:paraId="717A5396">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7</w:t>
            </w:r>
          </w:p>
        </w:tc>
        <w:tc>
          <w:tcPr>
            <w:tcW w:w="1962" w:type="dxa"/>
            <w:vAlign w:val="center"/>
          </w:tcPr>
          <w:p w14:paraId="4B4725B7">
            <w:pPr>
              <w:spacing w:line="360" w:lineRule="auto"/>
              <w:jc w:val="center"/>
              <w:rPr>
                <w:rFonts w:ascii="Times New Roman" w:hAnsi="Times New Roman" w:cs="Times New Roman"/>
                <w:color w:val="000000"/>
                <w:szCs w:val="21"/>
                <w:highlight w:val="none"/>
              </w:rPr>
            </w:pPr>
            <w:r>
              <w:rPr>
                <w:rFonts w:ascii="Times New Roman" w:hAnsi="Times New Roman" w:cs="Times New Roman"/>
                <w:b/>
                <w:color w:val="000000"/>
                <w:szCs w:val="21"/>
                <w:highlight w:val="none"/>
              </w:rPr>
              <w:t>★</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资格要求</w:t>
            </w:r>
          </w:p>
        </w:tc>
        <w:tc>
          <w:tcPr>
            <w:tcW w:w="6895" w:type="dxa"/>
            <w:vAlign w:val="center"/>
          </w:tcPr>
          <w:p w14:paraId="2FE9D824">
            <w:pPr>
              <w:widowControl/>
              <w:tabs>
                <w:tab w:val="left" w:pos="4392"/>
              </w:tabs>
              <w:spacing w:line="360" w:lineRule="auto"/>
              <w:ind w:right="149" w:rightChars="71"/>
              <w:jc w:val="left"/>
              <w:rPr>
                <w:rFonts w:hint="eastAsia" w:ascii="Times New Roman" w:hAnsi="Times New Roman" w:eastAsia="宋体" w:cs="Times New Roman"/>
                <w:color w:val="000000"/>
                <w:szCs w:val="21"/>
                <w:highlight w:val="none"/>
                <w:lang w:eastAsia="zh-CN"/>
              </w:rPr>
            </w:pPr>
            <w:r>
              <w:rPr>
                <w:rFonts w:hint="eastAsia" w:ascii="Times New Roman" w:hAnsi="Times New Roman" w:cs="Times New Roman"/>
                <w:color w:val="000000"/>
                <w:szCs w:val="21"/>
                <w:highlight w:val="none"/>
                <w:lang w:val="en-US" w:eastAsia="zh-CN"/>
              </w:rPr>
              <w:t>详见比选公告</w:t>
            </w:r>
            <w:r>
              <w:rPr>
                <w:rFonts w:hint="eastAsia" w:ascii="Times New Roman" w:hAnsi="Times New Roman" w:cs="Times New Roman"/>
                <w:color w:val="000000"/>
                <w:highlight w:val="none"/>
                <w:lang w:val="en-US" w:eastAsia="zh-CN"/>
              </w:rPr>
              <w:t>“</w:t>
            </w:r>
            <w:r>
              <w:rPr>
                <w:rFonts w:hint="eastAsia" w:ascii="Times New Roman" w:hAnsi="Times New Roman" w:cs="Times New Roman"/>
                <w:b w:val="0"/>
                <w:color w:val="000000"/>
                <w:sz w:val="21"/>
                <w:szCs w:val="21"/>
                <w:highlight w:val="none"/>
              </w:rPr>
              <w:t>3</w:t>
            </w:r>
            <w:r>
              <w:rPr>
                <w:rFonts w:hint="eastAsia" w:ascii="Times New Roman" w:hAnsi="Times New Roman" w:cs="Times New Roman"/>
                <w:b w:val="0"/>
                <w:color w:val="000000"/>
                <w:sz w:val="21"/>
                <w:szCs w:val="21"/>
                <w:highlight w:val="none"/>
                <w:lang w:val="en-US" w:eastAsia="zh-CN"/>
              </w:rPr>
              <w:t>.</w:t>
            </w:r>
            <w:r>
              <w:rPr>
                <w:rFonts w:hint="eastAsia" w:ascii="Times New Roman" w:hAnsi="Times New Roman" w:cs="Times New Roman"/>
                <w:b w:val="0"/>
                <w:color w:val="000000"/>
                <w:sz w:val="21"/>
                <w:szCs w:val="21"/>
                <w:highlight w:val="none"/>
              </w:rPr>
              <w:t>比选申请人资格要求</w:t>
            </w:r>
            <w:r>
              <w:rPr>
                <w:rFonts w:hint="eastAsia" w:ascii="Times New Roman" w:hAnsi="Times New Roman" w:cs="Times New Roman"/>
                <w:color w:val="000000"/>
                <w:szCs w:val="21"/>
                <w:highlight w:val="none"/>
                <w:lang w:val="en-US" w:eastAsia="zh-CN"/>
              </w:rPr>
              <w:t xml:space="preserve">”             </w:t>
            </w:r>
            <w:r>
              <w:rPr>
                <w:rFonts w:hint="eastAsia" w:ascii="Times New Roman" w:hAnsi="Times New Roman" w:cs="Times New Roman"/>
                <w:color w:val="000000"/>
                <w:highlight w:val="none"/>
                <w:lang w:val="en-US" w:eastAsia="zh-CN"/>
              </w:rPr>
              <w:t xml:space="preserve">  </w:t>
            </w:r>
            <w:r>
              <w:rPr>
                <w:rFonts w:hint="eastAsia" w:ascii="Times New Roman" w:hAnsi="Times New Roman" w:cs="Times New Roman"/>
                <w:color w:val="000000"/>
                <w:szCs w:val="21"/>
                <w:highlight w:val="none"/>
                <w:lang w:val="en-US" w:eastAsia="zh-CN"/>
              </w:rPr>
              <w:t xml:space="preserve"> </w:t>
            </w:r>
          </w:p>
        </w:tc>
      </w:tr>
      <w:tr w14:paraId="07839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863" w:type="dxa"/>
            <w:vAlign w:val="center"/>
          </w:tcPr>
          <w:p w14:paraId="2B925003">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8</w:t>
            </w:r>
          </w:p>
        </w:tc>
        <w:tc>
          <w:tcPr>
            <w:tcW w:w="1962" w:type="dxa"/>
            <w:vAlign w:val="center"/>
          </w:tcPr>
          <w:p w14:paraId="1819333E">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r>
              <w:rPr>
                <w:rFonts w:ascii="Times New Roman" w:hAnsi="Times New Roman" w:cs="Times New Roman"/>
                <w:bCs/>
                <w:color w:val="000000"/>
                <w:szCs w:val="21"/>
                <w:highlight w:val="none"/>
              </w:rPr>
              <w:t>是否接受联合体申请</w:t>
            </w:r>
          </w:p>
        </w:tc>
        <w:tc>
          <w:tcPr>
            <w:tcW w:w="6895" w:type="dxa"/>
            <w:vAlign w:val="center"/>
          </w:tcPr>
          <w:p w14:paraId="6A9817A2">
            <w:pPr>
              <w:spacing w:line="360" w:lineRule="auto"/>
              <w:ind w:firstLine="0" w:firstLineChars="0"/>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u w:val="single"/>
                <w:lang w:val="en-US" w:eastAsia="zh-CN"/>
              </w:rPr>
              <w:t>不</w:t>
            </w:r>
            <w:r>
              <w:rPr>
                <w:rFonts w:ascii="Times New Roman" w:hAnsi="Times New Roman" w:cs="Times New Roman"/>
                <w:color w:val="000000"/>
                <w:szCs w:val="21"/>
                <w:highlight w:val="none"/>
                <w:u w:val="single"/>
              </w:rPr>
              <w:t>接受</w:t>
            </w:r>
            <w:r>
              <w:rPr>
                <w:rFonts w:ascii="Times New Roman" w:hAnsi="Times New Roman" w:cs="Times New Roman"/>
                <w:color w:val="000000"/>
                <w:kern w:val="0"/>
                <w:szCs w:val="21"/>
                <w:highlight w:val="none"/>
              </w:rPr>
              <w:t>。</w:t>
            </w:r>
          </w:p>
        </w:tc>
      </w:tr>
      <w:tr w14:paraId="72DF8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63" w:type="dxa"/>
            <w:vAlign w:val="center"/>
          </w:tcPr>
          <w:p w14:paraId="21EAD6FF">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9</w:t>
            </w:r>
          </w:p>
        </w:tc>
        <w:tc>
          <w:tcPr>
            <w:tcW w:w="1962" w:type="dxa"/>
            <w:vAlign w:val="center"/>
          </w:tcPr>
          <w:p w14:paraId="1C1003E7">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★限制</w:t>
            </w:r>
            <w:r>
              <w:rPr>
                <w:rFonts w:hint="eastAsia" w:ascii="Times New Roman" w:hAnsi="Times New Roman" w:cs="Times New Roman"/>
                <w:color w:val="000000"/>
                <w:szCs w:val="21"/>
                <w:highlight w:val="none"/>
                <w:lang w:val="en-US" w:eastAsia="zh-CN"/>
              </w:rPr>
              <w:t>参选</w:t>
            </w:r>
            <w:r>
              <w:rPr>
                <w:rFonts w:ascii="Times New Roman" w:hAnsi="Times New Roman" w:cs="Times New Roman"/>
                <w:color w:val="000000"/>
                <w:szCs w:val="21"/>
                <w:highlight w:val="none"/>
              </w:rPr>
              <w:t>的情形</w:t>
            </w:r>
          </w:p>
        </w:tc>
        <w:tc>
          <w:tcPr>
            <w:tcW w:w="6895" w:type="dxa"/>
            <w:vAlign w:val="center"/>
          </w:tcPr>
          <w:p w14:paraId="0895EFE2">
            <w:pPr>
              <w:spacing w:line="360" w:lineRule="auto"/>
              <w:rPr>
                <w:rFonts w:ascii="Times New Roman" w:hAnsi="Times New Roman" w:cs="Times New Roman"/>
                <w:szCs w:val="21"/>
                <w:highlight w:val="none"/>
              </w:rPr>
            </w:pPr>
            <w:r>
              <w:rPr>
                <w:rFonts w:ascii="Times New Roman" w:hAnsi="Times New Roman" w:cs="Times New Roman"/>
                <w:szCs w:val="21"/>
                <w:highlight w:val="none"/>
              </w:rPr>
              <w:t>除</w:t>
            </w:r>
            <w:r>
              <w:rPr>
                <w:rFonts w:hint="eastAsia" w:ascii="Times New Roman" w:hAnsi="Times New Roman" w:cs="Times New Roman"/>
                <w:szCs w:val="21"/>
                <w:highlight w:val="none"/>
              </w:rPr>
              <w:t>比选申请人</w:t>
            </w:r>
            <w:r>
              <w:rPr>
                <w:rFonts w:ascii="Times New Roman" w:hAnsi="Times New Roman" w:cs="Times New Roman"/>
                <w:szCs w:val="21"/>
                <w:highlight w:val="none"/>
              </w:rPr>
              <w:t>不得存在的12种情形之外，</w:t>
            </w:r>
            <w:r>
              <w:rPr>
                <w:rFonts w:hint="eastAsia" w:ascii="Times New Roman" w:hAnsi="Times New Roman" w:cs="Times New Roman"/>
                <w:szCs w:val="21"/>
                <w:highlight w:val="none"/>
              </w:rPr>
              <w:t>比选申请人</w:t>
            </w:r>
            <w:r>
              <w:rPr>
                <w:rFonts w:ascii="Times New Roman" w:hAnsi="Times New Roman" w:cs="Times New Roman"/>
                <w:szCs w:val="21"/>
                <w:highlight w:val="none"/>
              </w:rPr>
              <w:t>也不得存在下列情形：</w:t>
            </w:r>
          </w:p>
          <w:p w14:paraId="10D0429B">
            <w:pPr>
              <w:spacing w:line="360" w:lineRule="auto"/>
              <w:rPr>
                <w:rFonts w:ascii="Times New Roman" w:hAnsi="Times New Roman" w:cs="Times New Roman"/>
                <w:szCs w:val="21"/>
                <w:highlight w:val="none"/>
              </w:rPr>
            </w:pPr>
            <w:r>
              <w:rPr>
                <w:rFonts w:ascii="Times New Roman" w:hAnsi="Times New Roman" w:cs="Times New Roman"/>
                <w:szCs w:val="21"/>
                <w:highlight w:val="none"/>
              </w:rPr>
              <w:t>（13）为本项目管理单位、造价咨询单位的；</w:t>
            </w:r>
          </w:p>
          <w:p w14:paraId="57749997">
            <w:pPr>
              <w:spacing w:line="360" w:lineRule="auto"/>
              <w:rPr>
                <w:rFonts w:ascii="Times New Roman" w:hAnsi="Times New Roman" w:cs="Times New Roman"/>
                <w:szCs w:val="21"/>
                <w:highlight w:val="none"/>
              </w:rPr>
            </w:pPr>
            <w:r>
              <w:rPr>
                <w:rFonts w:ascii="Times New Roman" w:hAnsi="Times New Roman" w:cs="Times New Roman"/>
                <w:szCs w:val="21"/>
                <w:highlight w:val="none"/>
              </w:rPr>
              <w:t>（14）与</w:t>
            </w:r>
            <w:r>
              <w:rPr>
                <w:rFonts w:hint="eastAsia" w:ascii="Times New Roman" w:hAnsi="Times New Roman" w:cs="Times New Roman"/>
                <w:szCs w:val="21"/>
                <w:highlight w:val="none"/>
              </w:rPr>
              <w:t>比选人</w:t>
            </w:r>
            <w:r>
              <w:rPr>
                <w:rFonts w:ascii="Times New Roman" w:hAnsi="Times New Roman" w:cs="Times New Roman"/>
                <w:szCs w:val="21"/>
                <w:highlight w:val="none"/>
              </w:rPr>
              <w:t>存在利害关系且可能影响</w:t>
            </w:r>
            <w:r>
              <w:rPr>
                <w:rFonts w:hint="eastAsia" w:ascii="Times New Roman" w:hAnsi="Times New Roman" w:cs="Times New Roman"/>
                <w:szCs w:val="21"/>
                <w:highlight w:val="none"/>
              </w:rPr>
              <w:t>比选</w:t>
            </w:r>
            <w:r>
              <w:rPr>
                <w:rFonts w:ascii="Times New Roman" w:hAnsi="Times New Roman" w:cs="Times New Roman"/>
                <w:szCs w:val="21"/>
                <w:highlight w:val="none"/>
              </w:rPr>
              <w:t>公正性的；</w:t>
            </w:r>
          </w:p>
          <w:p w14:paraId="5E167B7C">
            <w:pPr>
              <w:spacing w:line="360" w:lineRule="auto"/>
              <w:rPr>
                <w:rFonts w:ascii="Times New Roman" w:hAnsi="Times New Roman" w:cs="Times New Roman"/>
                <w:szCs w:val="21"/>
                <w:highlight w:val="none"/>
              </w:rPr>
            </w:pPr>
            <w:r>
              <w:rPr>
                <w:rFonts w:ascii="Times New Roman" w:hAnsi="Times New Roman" w:cs="Times New Roman"/>
                <w:szCs w:val="21"/>
                <w:highlight w:val="none"/>
              </w:rPr>
              <w:t>（15）在最近三年内</w:t>
            </w:r>
            <w:r>
              <w:rPr>
                <w:rFonts w:hint="eastAsia" w:ascii="Times New Roman" w:hAnsi="Times New Roman" w:cs="Times New Roman"/>
                <w:szCs w:val="21"/>
                <w:highlight w:val="none"/>
              </w:rPr>
              <w:t>比选申请人</w:t>
            </w:r>
            <w:r>
              <w:rPr>
                <w:rFonts w:ascii="Times New Roman" w:hAnsi="Times New Roman" w:cs="Times New Roman"/>
                <w:szCs w:val="21"/>
                <w:highlight w:val="none"/>
              </w:rPr>
              <w:t>或其法定代表人、拟委任的项目经理有行贿犯罪行为的；</w:t>
            </w:r>
          </w:p>
          <w:p w14:paraId="547B7EC1">
            <w:pPr>
              <w:spacing w:line="360" w:lineRule="auto"/>
              <w:rPr>
                <w:rFonts w:ascii="Times New Roman" w:hAnsi="Times New Roman" w:cs="Times New Roman"/>
                <w:szCs w:val="21"/>
                <w:highlight w:val="none"/>
              </w:rPr>
            </w:pPr>
            <w:r>
              <w:rPr>
                <w:rFonts w:ascii="Times New Roman" w:hAnsi="Times New Roman" w:cs="Times New Roman"/>
                <w:szCs w:val="21"/>
                <w:highlight w:val="none"/>
              </w:rPr>
              <w:t>（16）在最近一年内</w:t>
            </w:r>
            <w:r>
              <w:rPr>
                <w:rFonts w:hint="eastAsia" w:ascii="Times New Roman" w:hAnsi="Times New Roman" w:cs="Times New Roman"/>
                <w:szCs w:val="21"/>
                <w:highlight w:val="none"/>
              </w:rPr>
              <w:t>比选申请人</w:t>
            </w:r>
            <w:r>
              <w:rPr>
                <w:rFonts w:ascii="Times New Roman" w:hAnsi="Times New Roman" w:cs="Times New Roman"/>
                <w:szCs w:val="21"/>
                <w:highlight w:val="none"/>
              </w:rPr>
              <w:t>拟委任的</w:t>
            </w:r>
            <w:r>
              <w:rPr>
                <w:rFonts w:hint="eastAsia" w:ascii="Times New Roman" w:hAnsi="Times New Roman" w:cs="Times New Roman"/>
                <w:szCs w:val="21"/>
                <w:highlight w:val="none"/>
              </w:rPr>
              <w:t>项目经理</w:t>
            </w:r>
            <w:r>
              <w:rPr>
                <w:rFonts w:ascii="Times New Roman" w:hAnsi="Times New Roman" w:cs="Times New Roman"/>
                <w:szCs w:val="21"/>
                <w:highlight w:val="none"/>
              </w:rPr>
              <w:t>因违反《注册建造师管理规定》被建设主管部门或者其他有关部门行政处罚的；</w:t>
            </w:r>
          </w:p>
          <w:p w14:paraId="60579F56">
            <w:pPr>
              <w:spacing w:line="360" w:lineRule="auto"/>
              <w:rPr>
                <w:rFonts w:ascii="Times New Roman" w:hAnsi="Times New Roman" w:cs="Times New Roman"/>
                <w:szCs w:val="21"/>
                <w:highlight w:val="none"/>
              </w:rPr>
            </w:pPr>
            <w:r>
              <w:rPr>
                <w:rFonts w:ascii="Times New Roman" w:hAnsi="Times New Roman" w:cs="Times New Roman"/>
                <w:szCs w:val="21"/>
                <w:highlight w:val="none"/>
              </w:rPr>
              <w:t>（17）拟任项目经理在参加本项目</w:t>
            </w:r>
            <w:r>
              <w:rPr>
                <w:rFonts w:hint="eastAsia" w:ascii="Times New Roman" w:hAnsi="Times New Roman" w:cs="Times New Roman"/>
                <w:szCs w:val="21"/>
                <w:highlight w:val="none"/>
              </w:rPr>
              <w:t>比选申请</w:t>
            </w:r>
            <w:r>
              <w:rPr>
                <w:rFonts w:ascii="Times New Roman" w:hAnsi="Times New Roman" w:cs="Times New Roman"/>
                <w:szCs w:val="21"/>
                <w:highlight w:val="none"/>
              </w:rPr>
              <w:t>时（指</w:t>
            </w:r>
            <w:r>
              <w:rPr>
                <w:rFonts w:hint="eastAsia" w:ascii="Times New Roman" w:hAnsi="Times New Roman" w:cs="Times New Roman"/>
                <w:szCs w:val="21"/>
                <w:highlight w:val="none"/>
              </w:rPr>
              <w:t>比选申请文件递交</w:t>
            </w:r>
            <w:r>
              <w:rPr>
                <w:rFonts w:ascii="Times New Roman" w:hAnsi="Times New Roman" w:cs="Times New Roman"/>
                <w:szCs w:val="21"/>
                <w:highlight w:val="none"/>
              </w:rPr>
              <w:t>截止时间），在其他合同履行期间（合同履行期间是指从工程项目签订承包合同之日起至工程项目验收合格之日止的时间）的工程项目中担任项目经理的；</w:t>
            </w:r>
          </w:p>
          <w:p w14:paraId="54758A72">
            <w:pPr>
              <w:spacing w:line="360" w:lineRule="auto"/>
              <w:rPr>
                <w:rFonts w:hint="eastAsia" w:ascii="Times New Roman" w:hAnsi="Times New Roman" w:cs="Times New Roman"/>
                <w:szCs w:val="21"/>
                <w:highlight w:val="none"/>
                <w:lang w:eastAsia="zh-CN"/>
              </w:rPr>
            </w:pPr>
            <w:r>
              <w:rPr>
                <w:rFonts w:ascii="Times New Roman" w:hAnsi="Times New Roman" w:cs="Times New Roman"/>
                <w:szCs w:val="21"/>
                <w:highlight w:val="none"/>
              </w:rPr>
              <w:t>（18）根据国家或四川省有关部门制定的其他联合惩戒措施规范性文件（联合惩戒措施包括限制参与工程招</w:t>
            </w:r>
            <w:r>
              <w:rPr>
                <w:rFonts w:hint="eastAsia" w:ascii="Times New Roman" w:hAnsi="Times New Roman" w:cs="Times New Roman"/>
                <w:szCs w:val="21"/>
                <w:highlight w:val="none"/>
              </w:rPr>
              <w:t>投标</w:t>
            </w:r>
            <w:r>
              <w:rPr>
                <w:rFonts w:ascii="Times New Roman" w:hAnsi="Times New Roman" w:cs="Times New Roman"/>
                <w:szCs w:val="21"/>
                <w:highlight w:val="none"/>
              </w:rPr>
              <w:t>或限制参与政府采购活动），被列为联合惩戒对象的</w:t>
            </w:r>
            <w:r>
              <w:rPr>
                <w:rFonts w:hint="eastAsia" w:ascii="Times New Roman" w:hAnsi="Times New Roman" w:cs="Times New Roman"/>
                <w:szCs w:val="21"/>
                <w:highlight w:val="none"/>
                <w:lang w:eastAsia="zh-CN"/>
              </w:rPr>
              <w:t>；</w:t>
            </w:r>
          </w:p>
          <w:p w14:paraId="09BA707F">
            <w:pPr>
              <w:spacing w:line="360" w:lineRule="auto"/>
              <w:rPr>
                <w:rFonts w:ascii="Times New Roman" w:hAnsi="Times New Roman" w:cs="Times New Roman"/>
                <w:color w:val="000000"/>
                <w:szCs w:val="21"/>
                <w:highlight w:val="none"/>
              </w:rPr>
            </w:pPr>
            <w:r>
              <w:rPr>
                <w:rFonts w:hint="eastAsia" w:ascii="Times New Roman" w:hAnsi="Times New Roman" w:cs="Times New Roman"/>
                <w:szCs w:val="21"/>
                <w:highlight w:val="none"/>
                <w:lang w:eastAsia="zh-CN"/>
              </w:rPr>
              <w:t>（</w:t>
            </w:r>
            <w:r>
              <w:rPr>
                <w:rFonts w:hint="eastAsia" w:ascii="Times New Roman" w:hAnsi="Times New Roman" w:cs="Times New Roman"/>
                <w:szCs w:val="21"/>
                <w:highlight w:val="none"/>
                <w:lang w:val="en-US" w:eastAsia="zh-CN"/>
              </w:rPr>
              <w:t>19</w:t>
            </w:r>
            <w:r>
              <w:rPr>
                <w:rFonts w:hint="eastAsia" w:ascii="Times New Roman" w:hAnsi="Times New Roman" w:cs="Times New Roman"/>
                <w:szCs w:val="21"/>
                <w:highlight w:val="none"/>
                <w:lang w:eastAsia="zh-CN"/>
              </w:rPr>
              <w:t>）</w:t>
            </w:r>
            <w:r>
              <w:rPr>
                <w:rFonts w:hint="eastAsia" w:ascii="Times New Roman" w:hAnsi="Times New Roman" w:cs="Times New Roman"/>
                <w:color w:val="000000"/>
                <w:kern w:val="0"/>
                <w:szCs w:val="21"/>
                <w:highlight w:val="none"/>
              </w:rPr>
              <w:t>与</w:t>
            </w:r>
            <w:r>
              <w:rPr>
                <w:rFonts w:hint="eastAsia" w:ascii="Times New Roman" w:hAnsi="Times New Roman" w:cs="Times New Roman"/>
                <w:color w:val="000000"/>
                <w:kern w:val="0"/>
                <w:szCs w:val="21"/>
                <w:highlight w:val="none"/>
                <w:lang w:val="en-US" w:eastAsia="zh-CN"/>
              </w:rPr>
              <w:t>比选</w:t>
            </w:r>
            <w:r>
              <w:rPr>
                <w:rFonts w:hint="eastAsia" w:ascii="Times New Roman" w:hAnsi="Times New Roman" w:cs="Times New Roman"/>
                <w:color w:val="000000"/>
                <w:kern w:val="0"/>
                <w:szCs w:val="21"/>
                <w:highlight w:val="none"/>
              </w:rPr>
              <w:t>人存在利害关系可能影响招标公正性的法人、其他组织或者个人，不得参加投标；单位负责人为同一人或者存在控股、管理关系的不同单位，不得参加同一标段投标。否则，均视为无效投标。</w:t>
            </w:r>
          </w:p>
        </w:tc>
      </w:tr>
      <w:tr w14:paraId="2DEC0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63" w:type="dxa"/>
            <w:vAlign w:val="center"/>
          </w:tcPr>
          <w:p w14:paraId="54503D72">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10</w:t>
            </w:r>
          </w:p>
        </w:tc>
        <w:tc>
          <w:tcPr>
            <w:tcW w:w="1962" w:type="dxa"/>
            <w:vAlign w:val="center"/>
          </w:tcPr>
          <w:p w14:paraId="7AF60981">
            <w:pPr>
              <w:pageBreakBefore w:val="0"/>
              <w:wordWrap/>
              <w:topLinePunct w:val="0"/>
              <w:bidi w:val="0"/>
              <w:ind w:left="0" w:leftChars="0" w:right="0" w:rightChars="0" w:firstLine="0" w:firstLineChars="0"/>
              <w:jc w:val="center"/>
              <w:rPr>
                <w:rFonts w:ascii="Times New Roman" w:hAnsi="Times New Roman" w:cs="Times New Roman"/>
                <w:color w:val="000000"/>
                <w:szCs w:val="21"/>
                <w:highlight w:val="none"/>
              </w:rPr>
            </w:pPr>
            <w:r>
              <w:rPr>
                <w:rFonts w:ascii="宋体" w:hAnsi="宋体" w:eastAsia="宋体"/>
                <w:color w:val="auto"/>
                <w:sz w:val="21"/>
                <w:highlight w:val="none"/>
              </w:rPr>
              <w:t>重大偏差</w:t>
            </w:r>
          </w:p>
        </w:tc>
        <w:tc>
          <w:tcPr>
            <w:tcW w:w="6895" w:type="dxa"/>
            <w:vAlign w:val="center"/>
          </w:tcPr>
          <w:p w14:paraId="0F4B466C">
            <w:pPr>
              <w:keepNext w:val="0"/>
              <w:keepLines w:val="0"/>
              <w:pageBreakBefore w:val="0"/>
              <w:wordWrap/>
              <w:topLinePunct w:val="0"/>
              <w:bidi w:val="0"/>
              <w:snapToGrid/>
              <w:spacing w:line="360" w:lineRule="auto"/>
              <w:ind w:left="105" w:leftChars="50" w:right="105" w:rightChars="50" w:firstLine="0" w:firstLineChars="0"/>
              <w:textAlignment w:val="auto"/>
              <w:rPr>
                <w:rFonts w:ascii="Times New Roman" w:hAnsi="Times New Roman" w:cs="Times New Roman"/>
                <w:color w:val="000000"/>
                <w:szCs w:val="21"/>
                <w:highlight w:val="none"/>
              </w:rPr>
            </w:pPr>
            <w:r>
              <w:rPr>
                <w:rFonts w:hint="eastAsia" w:hAnsi="宋体" w:cs="宋体"/>
                <w:color w:val="auto"/>
                <w:highlight w:val="none"/>
                <w:lang w:val="en-US" w:eastAsia="zh-CN"/>
              </w:rPr>
              <w:t>不允许</w:t>
            </w:r>
          </w:p>
        </w:tc>
      </w:tr>
      <w:tr w14:paraId="56186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63" w:type="dxa"/>
            <w:vAlign w:val="center"/>
          </w:tcPr>
          <w:p w14:paraId="6501A61C">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11</w:t>
            </w:r>
          </w:p>
        </w:tc>
        <w:tc>
          <w:tcPr>
            <w:tcW w:w="1962" w:type="dxa"/>
            <w:vAlign w:val="center"/>
          </w:tcPr>
          <w:p w14:paraId="5D71A6DD">
            <w:pPr>
              <w:pStyle w:val="11"/>
              <w:spacing w:line="380" w:lineRule="exact"/>
              <w:jc w:val="center"/>
              <w:rPr>
                <w:rFonts w:ascii="Times New Roman" w:hAnsi="Times New Roman" w:cs="Times New Roman"/>
                <w:sz w:val="20"/>
                <w:szCs w:val="20"/>
                <w:highlight w:val="none"/>
              </w:rPr>
            </w:pPr>
            <w:r>
              <w:rPr>
                <w:rFonts w:hint="eastAsia" w:ascii="Times New Roman" w:hAnsi="Times New Roman" w:cs="Times New Roman"/>
                <w:color w:val="000000"/>
                <w:highlight w:val="none"/>
              </w:rPr>
              <w:t>比选申请</w:t>
            </w:r>
            <w:r>
              <w:rPr>
                <w:rFonts w:ascii="Times New Roman" w:hAnsi="Times New Roman" w:cs="Times New Roman"/>
                <w:color w:val="000000"/>
                <w:highlight w:val="none"/>
              </w:rPr>
              <w:t>保证金</w:t>
            </w:r>
          </w:p>
        </w:tc>
        <w:tc>
          <w:tcPr>
            <w:tcW w:w="6895" w:type="dxa"/>
            <w:vAlign w:val="center"/>
          </w:tcPr>
          <w:p w14:paraId="565E134B">
            <w:pPr>
              <w:widowControl/>
              <w:numPr>
                <w:ilvl w:val="-1"/>
                <w:numId w:val="0"/>
              </w:numPr>
              <w:wordWrap/>
              <w:spacing w:line="360" w:lineRule="auto"/>
              <w:ind w:firstLine="0"/>
              <w:jc w:val="left"/>
              <w:rPr>
                <w:rFonts w:ascii="Times New Roman" w:hAnsi="Times New Roman" w:cs="Times New Roman"/>
                <w:kern w:val="0"/>
                <w:sz w:val="20"/>
                <w:szCs w:val="20"/>
                <w:highlight w:val="none"/>
              </w:rPr>
            </w:pPr>
            <w:r>
              <w:rPr>
                <w:rFonts w:hint="eastAsia" w:ascii="Times New Roman" w:hAnsi="Times New Roman" w:cs="Times New Roman"/>
                <w:highlight w:val="none"/>
                <w:lang w:val="en-US" w:eastAsia="zh-CN"/>
              </w:rPr>
              <w:t>无</w:t>
            </w:r>
          </w:p>
        </w:tc>
      </w:tr>
      <w:tr w14:paraId="668D3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63" w:type="dxa"/>
            <w:vMerge w:val="restart"/>
            <w:vAlign w:val="center"/>
          </w:tcPr>
          <w:p w14:paraId="47D986F9">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12</w:t>
            </w:r>
          </w:p>
        </w:tc>
        <w:tc>
          <w:tcPr>
            <w:tcW w:w="1962" w:type="dxa"/>
            <w:vMerge w:val="restart"/>
            <w:vAlign w:val="center"/>
          </w:tcPr>
          <w:p w14:paraId="05DF6A8C">
            <w:pPr>
              <w:spacing w:line="360" w:lineRule="auto"/>
              <w:ind w:left="105" w:leftChars="50" w:right="149" w:rightChars="71"/>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t>比选申请人提出问题的截止时间</w:t>
            </w:r>
          </w:p>
        </w:tc>
        <w:tc>
          <w:tcPr>
            <w:tcW w:w="6895" w:type="dxa"/>
            <w:vAlign w:val="center"/>
          </w:tcPr>
          <w:p w14:paraId="2218A763">
            <w:pPr>
              <w:spacing w:line="360" w:lineRule="auto"/>
              <w:ind w:left="16" w:leftChars="8"/>
              <w:rPr>
                <w:rFonts w:ascii="Times New Roman" w:hAnsi="Times New Roman" w:eastAsia="宋体" w:cs="Times New Roman"/>
                <w:color w:val="auto"/>
                <w:kern w:val="2"/>
                <w:sz w:val="21"/>
                <w:szCs w:val="21"/>
                <w:highlight w:val="red"/>
                <w:lang w:val="en-US" w:eastAsia="zh-CN" w:bidi="ar-SA"/>
              </w:rPr>
            </w:pPr>
            <w:r>
              <w:rPr>
                <w:rFonts w:hint="default" w:ascii="Times New Roman" w:hAnsi="Times New Roman" w:cs="Times New Roman"/>
                <w:color w:val="auto"/>
                <w:szCs w:val="21"/>
                <w:highlight w:val="none"/>
              </w:rPr>
              <w:t>时间：</w:t>
            </w:r>
            <w:r>
              <w:rPr>
                <w:rFonts w:hint="eastAsia" w:ascii="Times New Roman" w:hAnsi="Times New Roman" w:cs="Times New Roman"/>
                <w:color w:val="auto"/>
                <w:szCs w:val="21"/>
                <w:highlight w:val="none"/>
                <w:u w:val="none"/>
                <w:lang w:val="en-US" w:eastAsia="zh-CN"/>
              </w:rPr>
              <w:t>2026年9</w:t>
            </w:r>
            <w:r>
              <w:rPr>
                <w:rFonts w:hint="default" w:ascii="Times New Roman" w:hAnsi="Times New Roman" w:eastAsia="宋体" w:cs="Times New Roman"/>
                <w:color w:val="000000"/>
                <w:kern w:val="0"/>
                <w:sz w:val="21"/>
                <w:szCs w:val="21"/>
                <w:highlight w:val="none"/>
                <w:lang w:val="en-US" w:eastAsia="zh-CN" w:bidi="ar-SA"/>
              </w:rPr>
              <w:t>月</w:t>
            </w:r>
            <w:r>
              <w:rPr>
                <w:rFonts w:hint="eastAsia" w:ascii="Times New Roman" w:hAnsi="Times New Roman" w:cs="Times New Roman"/>
                <w:color w:val="000000"/>
                <w:kern w:val="0"/>
                <w:sz w:val="21"/>
                <w:szCs w:val="21"/>
                <w:highlight w:val="none"/>
                <w:lang w:val="en-US" w:eastAsia="zh-CN" w:bidi="ar-SA"/>
              </w:rPr>
              <w:t>22</w:t>
            </w:r>
            <w:r>
              <w:rPr>
                <w:rFonts w:hint="default" w:ascii="Times New Roman" w:hAnsi="Times New Roman" w:eastAsia="宋体" w:cs="Times New Roman"/>
                <w:color w:val="000000"/>
                <w:kern w:val="0"/>
                <w:sz w:val="21"/>
                <w:szCs w:val="21"/>
                <w:highlight w:val="none"/>
                <w:lang w:val="en-US" w:eastAsia="zh-CN" w:bidi="ar-SA"/>
              </w:rPr>
              <w:t>日</w:t>
            </w:r>
            <w:r>
              <w:rPr>
                <w:rFonts w:hint="eastAsia" w:ascii="Times New Roman" w:hAnsi="Times New Roman" w:cs="Times New Roman"/>
                <w:color w:val="000000"/>
                <w:kern w:val="0"/>
                <w:sz w:val="21"/>
                <w:szCs w:val="21"/>
                <w:highlight w:val="none"/>
                <w:lang w:val="en-US" w:eastAsia="zh-CN" w:bidi="ar-SA"/>
              </w:rPr>
              <w:t>17</w:t>
            </w:r>
            <w:r>
              <w:rPr>
                <w:rFonts w:hint="default" w:ascii="Times New Roman" w:hAnsi="Times New Roman" w:eastAsia="宋体" w:cs="Times New Roman"/>
                <w:color w:val="000000"/>
                <w:kern w:val="0"/>
                <w:sz w:val="21"/>
                <w:szCs w:val="21"/>
                <w:highlight w:val="none"/>
                <w:lang w:val="en-US" w:eastAsia="zh-CN" w:bidi="ar-SA"/>
              </w:rPr>
              <w:t>时</w:t>
            </w:r>
            <w:r>
              <w:rPr>
                <w:rFonts w:hint="eastAsia" w:ascii="Times New Roman" w:hAnsi="Times New Roman" w:cs="Times New Roman"/>
                <w:color w:val="000000"/>
                <w:kern w:val="0"/>
                <w:sz w:val="21"/>
                <w:szCs w:val="21"/>
                <w:highlight w:val="none"/>
                <w:lang w:val="en-US" w:eastAsia="zh-CN" w:bidi="ar-SA"/>
              </w:rPr>
              <w:t>00</w:t>
            </w:r>
            <w:r>
              <w:rPr>
                <w:rFonts w:hint="default" w:ascii="Times New Roman" w:hAnsi="Times New Roman" w:eastAsia="宋体" w:cs="Times New Roman"/>
                <w:color w:val="000000"/>
                <w:kern w:val="0"/>
                <w:sz w:val="21"/>
                <w:szCs w:val="21"/>
                <w:highlight w:val="none"/>
                <w:lang w:val="en-US" w:eastAsia="zh-CN" w:bidi="ar-SA"/>
              </w:rPr>
              <w:t>分</w:t>
            </w:r>
            <w:r>
              <w:rPr>
                <w:rFonts w:hint="default" w:ascii="Times New Roman" w:hAnsi="Times New Roman" w:cs="Times New Roman"/>
                <w:color w:val="auto"/>
                <w:szCs w:val="21"/>
                <w:highlight w:val="none"/>
              </w:rPr>
              <w:t>之前</w:t>
            </w:r>
          </w:p>
        </w:tc>
      </w:tr>
      <w:tr w14:paraId="3C98C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63" w:type="dxa"/>
            <w:vMerge w:val="continue"/>
            <w:vAlign w:val="center"/>
          </w:tcPr>
          <w:p w14:paraId="3E30DC9E">
            <w:pPr>
              <w:widowControl/>
              <w:spacing w:line="360" w:lineRule="auto"/>
              <w:ind w:right="149" w:rightChars="71"/>
              <w:jc w:val="left"/>
              <w:rPr>
                <w:highlight w:val="none"/>
              </w:rPr>
            </w:pPr>
          </w:p>
        </w:tc>
        <w:tc>
          <w:tcPr>
            <w:tcW w:w="1962" w:type="dxa"/>
            <w:vMerge w:val="continue"/>
            <w:vAlign w:val="center"/>
          </w:tcPr>
          <w:p w14:paraId="1532CFC8">
            <w:pPr>
              <w:widowControl/>
              <w:spacing w:line="360" w:lineRule="auto"/>
              <w:ind w:right="149" w:rightChars="71"/>
              <w:jc w:val="left"/>
              <w:rPr>
                <w:highlight w:val="none"/>
              </w:rPr>
            </w:pPr>
          </w:p>
        </w:tc>
        <w:tc>
          <w:tcPr>
            <w:tcW w:w="6895" w:type="dxa"/>
            <w:vAlign w:val="center"/>
          </w:tcPr>
          <w:p w14:paraId="388C4514">
            <w:pPr>
              <w:spacing w:line="360" w:lineRule="auto"/>
              <w:ind w:left="16" w:leftChars="8"/>
              <w:rPr>
                <w:rFonts w:hint="default" w:ascii="Times New Roman" w:hAnsi="Times New Roman" w:eastAsia="宋体" w:cs="Times New Roman"/>
                <w:color w:val="000000"/>
                <w:kern w:val="0"/>
                <w:sz w:val="21"/>
                <w:szCs w:val="21"/>
                <w:highlight w:val="none"/>
                <w:u w:val="none"/>
                <w:lang w:val="en-US" w:eastAsia="zh-CN" w:bidi="ar-SA"/>
              </w:rPr>
            </w:pPr>
            <w:r>
              <w:rPr>
                <w:rFonts w:hint="default" w:ascii="Times New Roman" w:hAnsi="Times New Roman" w:cs="Times New Roman"/>
                <w:color w:val="auto"/>
                <w:szCs w:val="21"/>
                <w:highlight w:val="none"/>
              </w:rPr>
              <w:t>形式：</w:t>
            </w:r>
            <w:r>
              <w:rPr>
                <w:rFonts w:hint="default" w:ascii="Times New Roman" w:hAnsi="Times New Roman" w:eastAsia="宋体" w:cs="Times New Roman"/>
                <w:szCs w:val="21"/>
                <w:highlight w:val="none"/>
                <w:lang w:val="en-US" w:eastAsia="zh-CN"/>
              </w:rPr>
              <w:t>不</w:t>
            </w:r>
            <w:r>
              <w:rPr>
                <w:rFonts w:hint="default" w:ascii="Times New Roman" w:hAnsi="Times New Roman" w:eastAsia="宋体" w:cs="Times New Roman"/>
                <w:szCs w:val="21"/>
                <w:highlight w:val="none"/>
              </w:rPr>
              <w:t>提供</w:t>
            </w:r>
            <w:r>
              <w:rPr>
                <w:rFonts w:hint="default" w:ascii="Times New Roman" w:hAnsi="Times New Roman" w:eastAsia="宋体" w:cs="Times New Roman"/>
                <w:szCs w:val="21"/>
                <w:highlight w:val="none"/>
                <w:lang w:val="en-US" w:eastAsia="zh-CN"/>
              </w:rPr>
              <w:t>比选申请</w:t>
            </w:r>
            <w:r>
              <w:rPr>
                <w:rFonts w:hint="default" w:ascii="Times New Roman" w:hAnsi="Times New Roman" w:eastAsia="宋体" w:cs="Times New Roman"/>
                <w:szCs w:val="21"/>
                <w:highlight w:val="none"/>
              </w:rPr>
              <w:t>人的信息</w:t>
            </w:r>
            <w:r>
              <w:rPr>
                <w:rFonts w:hint="default" w:ascii="Times New Roman" w:hAnsi="Times New Roman" w:eastAsia="宋体" w:cs="Times New Roman"/>
                <w:szCs w:val="21"/>
                <w:highlight w:val="none"/>
                <w:lang w:eastAsia="zh-CN"/>
              </w:rPr>
              <w:t>，</w:t>
            </w:r>
            <w:r>
              <w:rPr>
                <w:rFonts w:hint="default" w:ascii="Times New Roman" w:hAnsi="Times New Roman" w:eastAsia="宋体" w:cs="Times New Roman"/>
                <w:color w:val="auto"/>
                <w:szCs w:val="21"/>
                <w:highlight w:val="none"/>
                <w:lang w:val="en-US" w:eastAsia="zh-CN"/>
              </w:rPr>
              <w:t>将须</w:t>
            </w:r>
            <w:r>
              <w:rPr>
                <w:rFonts w:hint="default" w:ascii="Times New Roman" w:hAnsi="Times New Roman" w:eastAsia="宋体" w:cs="Times New Roman"/>
                <w:color w:val="auto"/>
                <w:szCs w:val="21"/>
                <w:highlight w:val="none"/>
              </w:rPr>
              <w:t>澄清</w:t>
            </w:r>
            <w:r>
              <w:rPr>
                <w:rFonts w:hint="default" w:ascii="Times New Roman" w:hAnsi="Times New Roman" w:eastAsia="宋体" w:cs="Times New Roman"/>
                <w:color w:val="auto"/>
                <w:szCs w:val="21"/>
                <w:highlight w:val="none"/>
                <w:lang w:eastAsia="zh-CN"/>
              </w:rPr>
              <w:t>的</w:t>
            </w:r>
            <w:r>
              <w:rPr>
                <w:rFonts w:hint="default" w:ascii="Times New Roman" w:hAnsi="Times New Roman" w:eastAsia="宋体" w:cs="Times New Roman"/>
                <w:color w:val="auto"/>
                <w:szCs w:val="21"/>
                <w:highlight w:val="none"/>
              </w:rPr>
              <w:t>问题</w:t>
            </w:r>
            <w:r>
              <w:rPr>
                <w:rFonts w:hint="eastAsia" w:ascii="Times New Roman" w:hAnsi="Times New Roman" w:cs="Times New Roman"/>
                <w:color w:val="auto"/>
                <w:szCs w:val="21"/>
                <w:highlight w:val="none"/>
                <w:lang w:val="en-US" w:eastAsia="zh-CN"/>
              </w:rPr>
              <w:t>采用电邮形式传送至比选人指定邮箱545363197</w:t>
            </w:r>
            <w:r>
              <w:rPr>
                <w:rFonts w:hint="default" w:ascii="Times New Roman" w:hAnsi="Times New Roman" w:cs="Times New Roman"/>
                <w:color w:val="auto"/>
                <w:szCs w:val="21"/>
                <w:highlight w:val="none"/>
                <w:lang w:val="en-US" w:eastAsia="zh-CN"/>
              </w:rPr>
              <w:t>@qq.com</w:t>
            </w:r>
            <w:r>
              <w:rPr>
                <w:rFonts w:hint="default" w:ascii="Times New Roman" w:hAnsi="Times New Roman" w:eastAsia="宋体" w:cs="Times New Roman"/>
                <w:color w:val="auto"/>
                <w:szCs w:val="21"/>
                <w:highlight w:val="none"/>
              </w:rPr>
              <w:t>。</w:t>
            </w:r>
          </w:p>
        </w:tc>
      </w:tr>
      <w:tr w14:paraId="69E32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863" w:type="dxa"/>
            <w:vAlign w:val="center"/>
          </w:tcPr>
          <w:p w14:paraId="5F48A4CA">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13</w:t>
            </w:r>
          </w:p>
        </w:tc>
        <w:tc>
          <w:tcPr>
            <w:tcW w:w="1962" w:type="dxa"/>
            <w:vAlign w:val="center"/>
          </w:tcPr>
          <w:p w14:paraId="65577106">
            <w:pPr>
              <w:pStyle w:val="11"/>
              <w:spacing w:line="340" w:lineRule="exact"/>
              <w:jc w:val="center"/>
              <w:rPr>
                <w:rFonts w:ascii="Times New Roman" w:hAnsi="Times New Roman" w:cs="Times New Roman"/>
                <w:highlight w:val="none"/>
              </w:rPr>
            </w:pPr>
            <w:r>
              <w:rPr>
                <w:rFonts w:hint="eastAsia" w:ascii="Times New Roman" w:hAnsi="Times New Roman" w:cs="Times New Roman"/>
                <w:highlight w:val="none"/>
              </w:rPr>
              <w:t>比选</w:t>
            </w:r>
            <w:r>
              <w:rPr>
                <w:rFonts w:ascii="Times New Roman" w:hAnsi="Times New Roman" w:cs="Times New Roman"/>
                <w:highlight w:val="none"/>
              </w:rPr>
              <w:t>文件澄清发出的形式</w:t>
            </w:r>
          </w:p>
        </w:tc>
        <w:tc>
          <w:tcPr>
            <w:tcW w:w="6895" w:type="dxa"/>
            <w:vAlign w:val="center"/>
          </w:tcPr>
          <w:p w14:paraId="16DEA7FD">
            <w:pPr>
              <w:numPr>
                <w:ilvl w:val="-1"/>
                <w:numId w:val="0"/>
              </w:numPr>
              <w:wordWrap w:val="0"/>
              <w:spacing w:line="420" w:lineRule="exact"/>
              <w:ind w:left="0" w:leftChars="0"/>
              <w:rPr>
                <w:rFonts w:hint="eastAsia" w:ascii="Times New Roman" w:hAnsi="Times New Roman" w:eastAsia="宋体" w:cs="Times New Roman"/>
                <w:kern w:val="2"/>
                <w:szCs w:val="22"/>
                <w:highlight w:val="none"/>
              </w:rPr>
            </w:pPr>
            <w:r>
              <w:rPr>
                <w:rFonts w:hint="eastAsia" w:ascii="Times New Roman" w:hAnsi="Times New Roman" w:cs="Times New Roman"/>
                <w:highlight w:val="none"/>
              </w:rPr>
              <w:t>比选人</w:t>
            </w:r>
            <w:r>
              <w:rPr>
                <w:rFonts w:ascii="Times New Roman" w:hAnsi="Times New Roman" w:cs="Times New Roman"/>
                <w:highlight w:val="none"/>
              </w:rPr>
              <w:t>将以补遗书形式对</w:t>
            </w:r>
            <w:r>
              <w:rPr>
                <w:rFonts w:hint="eastAsia" w:ascii="Times New Roman" w:hAnsi="Times New Roman" w:cs="Times New Roman"/>
                <w:highlight w:val="none"/>
              </w:rPr>
              <w:t>比选</w:t>
            </w:r>
            <w:r>
              <w:rPr>
                <w:rFonts w:ascii="Times New Roman" w:hAnsi="Times New Roman" w:cs="Times New Roman"/>
                <w:highlight w:val="none"/>
              </w:rPr>
              <w:t>文件进行澄清，</w:t>
            </w:r>
            <w:r>
              <w:rPr>
                <w:rFonts w:hint="eastAsia" w:ascii="Times New Roman" w:hAnsi="Times New Roman" w:cs="Times New Roman"/>
                <w:highlight w:val="none"/>
              </w:rPr>
              <w:t>补遗书公布在四川蜀道新能源科技发展有限公司网站（http://www.sdxnykj.cn/）上。</w:t>
            </w:r>
          </w:p>
        </w:tc>
      </w:tr>
      <w:tr w14:paraId="01F10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863" w:type="dxa"/>
            <w:vAlign w:val="center"/>
          </w:tcPr>
          <w:p w14:paraId="12C60BA8">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14</w:t>
            </w:r>
          </w:p>
        </w:tc>
        <w:tc>
          <w:tcPr>
            <w:tcW w:w="1962" w:type="dxa"/>
            <w:vAlign w:val="center"/>
          </w:tcPr>
          <w:p w14:paraId="703D31B8">
            <w:pPr>
              <w:wordWrap w:val="0"/>
              <w:spacing w:line="420" w:lineRule="exact"/>
              <w:jc w:val="center"/>
              <w:rPr>
                <w:rFonts w:ascii="Times New Roman" w:hAnsi="Times New Roman" w:cs="Times New Roman"/>
                <w:color w:val="000000"/>
                <w:szCs w:val="21"/>
                <w:highlight w:val="none"/>
              </w:rPr>
            </w:pPr>
            <w:r>
              <w:rPr>
                <w:rFonts w:hint="eastAsia" w:ascii="Times New Roman" w:hAnsi="Times New Roman" w:cs="Times New Roman"/>
                <w:szCs w:val="21"/>
                <w:highlight w:val="none"/>
              </w:rPr>
              <w:t>比选申请人</w:t>
            </w:r>
            <w:r>
              <w:rPr>
                <w:rFonts w:ascii="Times New Roman" w:hAnsi="Times New Roman" w:cs="Times New Roman"/>
                <w:szCs w:val="21"/>
                <w:highlight w:val="none"/>
              </w:rPr>
              <w:t>确认收到</w:t>
            </w:r>
            <w:r>
              <w:rPr>
                <w:rFonts w:hint="eastAsia" w:ascii="Times New Roman" w:hAnsi="Times New Roman" w:cs="Times New Roman"/>
                <w:szCs w:val="21"/>
                <w:highlight w:val="none"/>
              </w:rPr>
              <w:t>比选</w:t>
            </w:r>
            <w:r>
              <w:rPr>
                <w:rFonts w:ascii="Times New Roman" w:hAnsi="Times New Roman" w:cs="Times New Roman"/>
                <w:szCs w:val="21"/>
                <w:highlight w:val="none"/>
              </w:rPr>
              <w:t>文件澄清</w:t>
            </w:r>
          </w:p>
        </w:tc>
        <w:tc>
          <w:tcPr>
            <w:tcW w:w="6895" w:type="dxa"/>
            <w:vAlign w:val="center"/>
          </w:tcPr>
          <w:p w14:paraId="4AB7A1E0">
            <w:pPr>
              <w:numPr>
                <w:ilvl w:val="0"/>
                <w:numId w:val="2"/>
              </w:numPr>
              <w:wordWrap w:val="0"/>
              <w:spacing w:line="420" w:lineRule="exact"/>
              <w:rPr>
                <w:rFonts w:ascii="Times New Roman" w:hAnsi="Times New Roman" w:cs="Times New Roman"/>
                <w:highlight w:val="none"/>
              </w:rPr>
            </w:pPr>
            <w:r>
              <w:rPr>
                <w:rFonts w:ascii="Times New Roman" w:hAnsi="Times New Roman" w:cs="Times New Roman"/>
                <w:highlight w:val="none"/>
              </w:rPr>
              <w:t>不要求</w:t>
            </w:r>
            <w:r>
              <w:rPr>
                <w:rFonts w:hint="eastAsia" w:ascii="Times New Roman" w:hAnsi="Times New Roman" w:cs="Times New Roman"/>
                <w:highlight w:val="none"/>
              </w:rPr>
              <w:t>比选申请人</w:t>
            </w:r>
            <w:r>
              <w:rPr>
                <w:rFonts w:ascii="Times New Roman" w:hAnsi="Times New Roman" w:cs="Times New Roman"/>
                <w:highlight w:val="none"/>
              </w:rPr>
              <w:t>向</w:t>
            </w:r>
            <w:r>
              <w:rPr>
                <w:rFonts w:hint="eastAsia" w:ascii="Times New Roman" w:hAnsi="Times New Roman" w:cs="Times New Roman"/>
                <w:highlight w:val="none"/>
              </w:rPr>
              <w:t>比选人</w:t>
            </w:r>
            <w:r>
              <w:rPr>
                <w:rFonts w:ascii="Times New Roman" w:hAnsi="Times New Roman" w:cs="Times New Roman"/>
                <w:highlight w:val="none"/>
              </w:rPr>
              <w:t>发出确认函。</w:t>
            </w:r>
          </w:p>
          <w:p w14:paraId="09BD43FA">
            <w:pPr>
              <w:numPr>
                <w:ilvl w:val="-1"/>
                <w:numId w:val="0"/>
              </w:numPr>
              <w:wordWrap w:val="0"/>
              <w:spacing w:line="420" w:lineRule="exact"/>
              <w:rPr>
                <w:rFonts w:ascii="Times New Roman" w:hAnsi="Times New Roman" w:cs="Times New Roman"/>
                <w:highlight w:val="none"/>
              </w:rPr>
            </w:pPr>
            <w:r>
              <w:rPr>
                <w:rFonts w:hint="eastAsia" w:ascii="Times New Roman" w:hAnsi="Times New Roman" w:cs="Times New Roman"/>
                <w:highlight w:val="none"/>
                <w:lang w:val="en-US" w:eastAsia="zh-CN"/>
              </w:rPr>
              <w:t>2.</w:t>
            </w:r>
            <w:r>
              <w:rPr>
                <w:rFonts w:hint="eastAsia" w:ascii="Times New Roman" w:hAnsi="Times New Roman" w:cs="Times New Roman"/>
                <w:highlight w:val="none"/>
              </w:rPr>
              <w:t>比选申请人</w:t>
            </w:r>
            <w:r>
              <w:rPr>
                <w:rFonts w:ascii="Times New Roman" w:hAnsi="Times New Roman" w:cs="Times New Roman"/>
                <w:highlight w:val="none"/>
              </w:rPr>
              <w:t>应在</w:t>
            </w:r>
            <w:r>
              <w:rPr>
                <w:rFonts w:hint="eastAsia" w:ascii="Times New Roman" w:hAnsi="Times New Roman" w:cs="Times New Roman"/>
                <w:highlight w:val="none"/>
              </w:rPr>
              <w:t>比选申请</w:t>
            </w:r>
            <w:r>
              <w:rPr>
                <w:rFonts w:ascii="Times New Roman" w:hAnsi="Times New Roman" w:cs="Times New Roman"/>
                <w:highlight w:val="none"/>
              </w:rPr>
              <w:t>期间实时关注</w:t>
            </w:r>
            <w:r>
              <w:rPr>
                <w:rFonts w:hint="eastAsia" w:ascii="Times New Roman" w:hAnsi="Times New Roman" w:cs="Times New Roman"/>
                <w:highlight w:val="none"/>
              </w:rPr>
              <w:t>比选人</w:t>
            </w:r>
            <w:r>
              <w:rPr>
                <w:rFonts w:ascii="Times New Roman" w:hAnsi="Times New Roman" w:cs="Times New Roman"/>
                <w:highlight w:val="none"/>
              </w:rPr>
              <w:t>指定网站，并及时</w:t>
            </w:r>
            <w:r>
              <w:rPr>
                <w:rFonts w:hint="eastAsia" w:ascii="Times New Roman" w:hAnsi="Times New Roman" w:cs="Times New Roman"/>
                <w:highlight w:val="none"/>
              </w:rPr>
              <w:t>查阅</w:t>
            </w:r>
            <w:r>
              <w:rPr>
                <w:rFonts w:ascii="Times New Roman" w:hAnsi="Times New Roman" w:cs="Times New Roman"/>
                <w:highlight w:val="none"/>
              </w:rPr>
              <w:t>相关内容，</w:t>
            </w:r>
            <w:r>
              <w:rPr>
                <w:rFonts w:hint="eastAsia" w:ascii="Times New Roman" w:hAnsi="Times New Roman" w:cs="Times New Roman"/>
                <w:highlight w:val="none"/>
              </w:rPr>
              <w:t>比选人</w:t>
            </w:r>
            <w:r>
              <w:rPr>
                <w:rFonts w:ascii="Times New Roman" w:hAnsi="Times New Roman" w:cs="Times New Roman"/>
                <w:highlight w:val="none"/>
              </w:rPr>
              <w:t>不再另行通知。查阅下载过程如有问题或疑问请及时与</w:t>
            </w:r>
            <w:r>
              <w:rPr>
                <w:rFonts w:hint="eastAsia" w:ascii="Times New Roman" w:hAnsi="Times New Roman" w:cs="Times New Roman"/>
                <w:highlight w:val="none"/>
              </w:rPr>
              <w:t>比选人</w:t>
            </w:r>
            <w:r>
              <w:rPr>
                <w:rFonts w:ascii="Times New Roman" w:hAnsi="Times New Roman" w:cs="Times New Roman"/>
                <w:highlight w:val="none"/>
              </w:rPr>
              <w:t>联系；逾期未联系的，</w:t>
            </w:r>
            <w:r>
              <w:rPr>
                <w:rFonts w:hint="eastAsia" w:ascii="Times New Roman" w:hAnsi="Times New Roman" w:cs="Times New Roman"/>
                <w:highlight w:val="none"/>
              </w:rPr>
              <w:t>比选人</w:t>
            </w:r>
            <w:r>
              <w:rPr>
                <w:rFonts w:ascii="Times New Roman" w:hAnsi="Times New Roman" w:cs="Times New Roman"/>
                <w:highlight w:val="none"/>
              </w:rPr>
              <w:t>视为</w:t>
            </w:r>
            <w:r>
              <w:rPr>
                <w:rFonts w:hint="eastAsia" w:ascii="Times New Roman" w:hAnsi="Times New Roman" w:cs="Times New Roman"/>
                <w:highlight w:val="none"/>
              </w:rPr>
              <w:t>比选申请人</w:t>
            </w:r>
            <w:r>
              <w:rPr>
                <w:rFonts w:ascii="Times New Roman" w:hAnsi="Times New Roman" w:cs="Times New Roman"/>
                <w:highlight w:val="none"/>
              </w:rPr>
              <w:t>无任何问题，或是已收到或默认已收到，否则，造成的一切后果由</w:t>
            </w:r>
            <w:r>
              <w:rPr>
                <w:rFonts w:hint="eastAsia" w:ascii="Times New Roman" w:hAnsi="Times New Roman" w:cs="Times New Roman"/>
                <w:highlight w:val="none"/>
              </w:rPr>
              <w:t>比选申请人</w:t>
            </w:r>
            <w:r>
              <w:rPr>
                <w:rFonts w:ascii="Times New Roman" w:hAnsi="Times New Roman" w:cs="Times New Roman"/>
                <w:highlight w:val="none"/>
              </w:rPr>
              <w:t>自负。</w:t>
            </w:r>
          </w:p>
        </w:tc>
      </w:tr>
      <w:tr w14:paraId="21BC1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63" w:type="dxa"/>
            <w:vAlign w:val="center"/>
          </w:tcPr>
          <w:p w14:paraId="473C05BC">
            <w:pPr>
              <w:spacing w:line="360" w:lineRule="auto"/>
              <w:ind w:firstLine="210" w:firstLineChars="100"/>
              <w:rPr>
                <w:rFonts w:ascii="Times New Roman" w:hAnsi="Times New Roman" w:cs="Times New Roman"/>
                <w:color w:val="000000"/>
                <w:szCs w:val="21"/>
                <w:highlight w:val="none"/>
              </w:rPr>
            </w:pPr>
            <w:r>
              <w:rPr>
                <w:rFonts w:ascii="Times New Roman" w:hAnsi="Times New Roman" w:cs="Times New Roman"/>
                <w:color w:val="000000"/>
                <w:szCs w:val="21"/>
                <w:highlight w:val="none"/>
              </w:rPr>
              <w:t>15</w:t>
            </w:r>
          </w:p>
        </w:tc>
        <w:tc>
          <w:tcPr>
            <w:tcW w:w="1962" w:type="dxa"/>
            <w:vAlign w:val="center"/>
          </w:tcPr>
          <w:p w14:paraId="311BB0B5">
            <w:pPr>
              <w:wordWrap w:val="0"/>
              <w:spacing w:before="156" w:beforeLines="50" w:line="420" w:lineRule="exact"/>
              <w:jc w:val="center"/>
              <w:rPr>
                <w:rFonts w:ascii="Times New Roman" w:hAnsi="Times New Roman" w:cs="Times New Roman"/>
                <w:szCs w:val="21"/>
                <w:highlight w:val="none"/>
              </w:rPr>
            </w:pPr>
            <w:r>
              <w:rPr>
                <w:rFonts w:hint="eastAsia" w:ascii="Times New Roman" w:hAnsi="Times New Roman" w:cs="Times New Roman"/>
                <w:szCs w:val="21"/>
                <w:highlight w:val="none"/>
              </w:rPr>
              <w:t>比选</w:t>
            </w:r>
            <w:r>
              <w:rPr>
                <w:rFonts w:ascii="Times New Roman" w:hAnsi="Times New Roman" w:cs="Times New Roman"/>
                <w:szCs w:val="21"/>
                <w:highlight w:val="none"/>
              </w:rPr>
              <w:t>文件修改发出的形式</w:t>
            </w:r>
          </w:p>
        </w:tc>
        <w:tc>
          <w:tcPr>
            <w:tcW w:w="6895" w:type="dxa"/>
            <w:vAlign w:val="center"/>
          </w:tcPr>
          <w:p w14:paraId="1D48D1F4">
            <w:pPr>
              <w:pStyle w:val="21"/>
              <w:wordWrap w:val="0"/>
              <w:autoSpaceDE/>
              <w:autoSpaceDN/>
              <w:spacing w:line="420" w:lineRule="exact"/>
              <w:jc w:val="both"/>
              <w:rPr>
                <w:rFonts w:ascii="Times New Roman"/>
                <w:color w:val="auto"/>
                <w:sz w:val="21"/>
                <w:szCs w:val="21"/>
                <w:highlight w:val="none"/>
              </w:rPr>
            </w:pPr>
            <w:r>
              <w:rPr>
                <w:rFonts w:ascii="Times New Roman"/>
                <w:color w:val="auto"/>
                <w:kern w:val="2"/>
                <w:sz w:val="21"/>
                <w:szCs w:val="21"/>
                <w:highlight w:val="none"/>
              </w:rPr>
              <w:t>同</w:t>
            </w:r>
            <w:r>
              <w:rPr>
                <w:rFonts w:hint="eastAsia" w:ascii="Times New Roman"/>
                <w:color w:val="auto"/>
                <w:kern w:val="2"/>
                <w:sz w:val="21"/>
                <w:szCs w:val="21"/>
                <w:highlight w:val="none"/>
              </w:rPr>
              <w:t>比选</w:t>
            </w:r>
            <w:r>
              <w:rPr>
                <w:rFonts w:ascii="Times New Roman"/>
                <w:color w:val="auto"/>
                <w:kern w:val="2"/>
                <w:sz w:val="21"/>
                <w:szCs w:val="21"/>
                <w:highlight w:val="none"/>
              </w:rPr>
              <w:t>文件澄清发出的形式。</w:t>
            </w:r>
          </w:p>
        </w:tc>
      </w:tr>
      <w:tr w14:paraId="79B39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63" w:type="dxa"/>
            <w:vAlign w:val="center"/>
          </w:tcPr>
          <w:p w14:paraId="52590118">
            <w:pPr>
              <w:spacing w:line="360" w:lineRule="auto"/>
              <w:ind w:firstLine="210" w:firstLineChars="100"/>
              <w:rPr>
                <w:rFonts w:ascii="Times New Roman" w:hAnsi="Times New Roman" w:cs="Times New Roman"/>
                <w:color w:val="000000"/>
                <w:szCs w:val="21"/>
                <w:highlight w:val="none"/>
              </w:rPr>
            </w:pPr>
            <w:r>
              <w:rPr>
                <w:rFonts w:ascii="Times New Roman" w:hAnsi="Times New Roman" w:cs="Times New Roman"/>
                <w:color w:val="000000"/>
                <w:szCs w:val="21"/>
                <w:highlight w:val="none"/>
              </w:rPr>
              <w:t>16</w:t>
            </w:r>
          </w:p>
        </w:tc>
        <w:tc>
          <w:tcPr>
            <w:tcW w:w="1962" w:type="dxa"/>
            <w:vAlign w:val="center"/>
          </w:tcPr>
          <w:p w14:paraId="5313C591">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分包</w:t>
            </w:r>
          </w:p>
        </w:tc>
        <w:tc>
          <w:tcPr>
            <w:tcW w:w="6895" w:type="dxa"/>
            <w:vAlign w:val="center"/>
          </w:tcPr>
          <w:p w14:paraId="1947C2E2">
            <w:pPr>
              <w:numPr>
                <w:ilvl w:val="-1"/>
                <w:numId w:val="0"/>
              </w:numPr>
              <w:spacing w:line="360" w:lineRule="auto"/>
              <w:rPr>
                <w:rFonts w:ascii="Times New Roman" w:hAnsi="Times New Roman" w:cs="Times New Roman"/>
                <w:szCs w:val="21"/>
                <w:highlight w:val="none"/>
              </w:rPr>
            </w:pPr>
            <w:r>
              <w:rPr>
                <w:rFonts w:hint="eastAsia" w:ascii="Times New Roman" w:hAnsi="Times New Roman" w:cs="Times New Roman"/>
                <w:szCs w:val="21"/>
                <w:highlight w:val="none"/>
                <w:lang w:val="en-US" w:eastAsia="zh-CN"/>
              </w:rPr>
              <w:t>1.</w:t>
            </w:r>
            <w:r>
              <w:rPr>
                <w:rFonts w:hint="eastAsia" w:ascii="Times New Roman" w:hAnsi="Times New Roman" w:cs="Times New Roman"/>
                <w:szCs w:val="21"/>
                <w:highlight w:val="none"/>
              </w:rPr>
              <w:t>不允许转包或违法分包。</w:t>
            </w:r>
          </w:p>
          <w:p w14:paraId="35787147">
            <w:pPr>
              <w:numPr>
                <w:ilvl w:val="-1"/>
                <w:numId w:val="0"/>
              </w:numPr>
              <w:spacing w:line="360" w:lineRule="auto"/>
              <w:rPr>
                <w:rFonts w:ascii="Times New Roman" w:hAnsi="Times New Roman" w:cs="Times New Roman"/>
                <w:color w:val="000000"/>
                <w:szCs w:val="21"/>
                <w:highlight w:val="none"/>
                <w:shd w:val="clear" w:color="auto" w:fill="FFFFFF"/>
              </w:rPr>
            </w:pPr>
            <w:r>
              <w:rPr>
                <w:rFonts w:hint="eastAsia" w:ascii="Times New Roman" w:hAnsi="Times New Roman" w:cs="Times New Roman"/>
                <w:szCs w:val="21"/>
                <w:highlight w:val="none"/>
                <w:lang w:val="en-US" w:eastAsia="zh-CN"/>
              </w:rPr>
              <w:t>2.</w:t>
            </w:r>
            <w:r>
              <w:rPr>
                <w:rFonts w:hint="eastAsia" w:ascii="Times New Roman" w:hAnsi="Times New Roman" w:cs="Times New Roman"/>
                <w:szCs w:val="21"/>
                <w:highlight w:val="none"/>
              </w:rPr>
              <w:t>如需分包，应选择</w:t>
            </w:r>
            <w:r>
              <w:rPr>
                <w:rFonts w:ascii="Times New Roman" w:hAnsi="Times New Roman" w:cs="Times New Roman"/>
                <w:szCs w:val="21"/>
                <w:highlight w:val="none"/>
              </w:rPr>
              <w:t>具有相应资质条件的分包单位，</w:t>
            </w:r>
            <w:r>
              <w:rPr>
                <w:rFonts w:hint="eastAsia" w:ascii="Times New Roman" w:hAnsi="Times New Roman" w:cs="Times New Roman"/>
                <w:szCs w:val="21"/>
                <w:highlight w:val="none"/>
              </w:rPr>
              <w:t>且</w:t>
            </w:r>
            <w:r>
              <w:rPr>
                <w:rFonts w:ascii="Times New Roman" w:hAnsi="Times New Roman" w:cs="Times New Roman"/>
                <w:szCs w:val="21"/>
                <w:highlight w:val="none"/>
              </w:rPr>
              <w:t>必须经项目业主认可。</w:t>
            </w:r>
          </w:p>
        </w:tc>
      </w:tr>
      <w:tr w14:paraId="1A623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863" w:type="dxa"/>
            <w:vAlign w:val="center"/>
          </w:tcPr>
          <w:p w14:paraId="482C2E3E">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17</w:t>
            </w:r>
          </w:p>
        </w:tc>
        <w:tc>
          <w:tcPr>
            <w:tcW w:w="1962" w:type="dxa"/>
            <w:vAlign w:val="center"/>
          </w:tcPr>
          <w:p w14:paraId="3762F7CD">
            <w:pPr>
              <w:spacing w:line="360" w:lineRule="auto"/>
              <w:jc w:val="center"/>
              <w:rPr>
                <w:rFonts w:ascii="Times New Roman" w:hAnsi="Times New Roman" w:cs="Times New Roman"/>
                <w:color w:val="000000"/>
                <w:szCs w:val="21"/>
                <w:highlight w:val="none"/>
              </w:rPr>
            </w:pPr>
            <w:r>
              <w:rPr>
                <w:rFonts w:ascii="Times New Roman" w:hAnsi="Times New Roman" w:cs="Times New Roman"/>
                <w:szCs w:val="21"/>
                <w:highlight w:val="none"/>
              </w:rPr>
              <w:t>构成</w:t>
            </w:r>
            <w:r>
              <w:rPr>
                <w:rFonts w:hint="eastAsia" w:ascii="Times New Roman" w:hAnsi="Times New Roman" w:cs="Times New Roman"/>
                <w:szCs w:val="21"/>
                <w:highlight w:val="none"/>
              </w:rPr>
              <w:t>比选</w:t>
            </w:r>
            <w:r>
              <w:rPr>
                <w:rFonts w:ascii="Times New Roman" w:hAnsi="Times New Roman" w:cs="Times New Roman"/>
                <w:szCs w:val="21"/>
                <w:highlight w:val="none"/>
              </w:rPr>
              <w:t>文件的其他材料</w:t>
            </w:r>
          </w:p>
        </w:tc>
        <w:tc>
          <w:tcPr>
            <w:tcW w:w="6895" w:type="dxa"/>
            <w:vAlign w:val="center"/>
          </w:tcPr>
          <w:p w14:paraId="7BB95374">
            <w:pPr>
              <w:spacing w:line="360" w:lineRule="auto"/>
              <w:ind w:left="16" w:leftChars="8"/>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比选人</w:t>
            </w:r>
            <w:r>
              <w:rPr>
                <w:rFonts w:ascii="Times New Roman" w:hAnsi="Times New Roman" w:cs="Times New Roman"/>
                <w:color w:val="000000"/>
                <w:szCs w:val="21"/>
                <w:highlight w:val="none"/>
              </w:rPr>
              <w:t>发出的补充资料、答疑纪要和补遗书等内容</w:t>
            </w:r>
          </w:p>
        </w:tc>
      </w:tr>
      <w:tr w14:paraId="062C3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63" w:type="dxa"/>
            <w:vAlign w:val="center"/>
          </w:tcPr>
          <w:p w14:paraId="6F04CCDF">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18</w:t>
            </w:r>
          </w:p>
        </w:tc>
        <w:tc>
          <w:tcPr>
            <w:tcW w:w="1962" w:type="dxa"/>
            <w:vAlign w:val="center"/>
          </w:tcPr>
          <w:p w14:paraId="5DA07B6B">
            <w:pPr>
              <w:spacing w:line="360" w:lineRule="auto"/>
              <w:jc w:val="center"/>
              <w:rPr>
                <w:rFonts w:ascii="Times New Roman" w:hAnsi="Times New Roman" w:cs="Times New Roman"/>
                <w:color w:val="000000"/>
                <w:szCs w:val="21"/>
                <w:highlight w:val="none"/>
              </w:rPr>
            </w:pPr>
            <w:r>
              <w:rPr>
                <w:rFonts w:hint="eastAsia" w:ascii="Times New Roman" w:hAnsi="Times New Roman" w:cs="Times New Roman"/>
                <w:kern w:val="0"/>
                <w:szCs w:val="21"/>
                <w:highlight w:val="none"/>
              </w:rPr>
              <w:t>比选申请文件</w:t>
            </w:r>
            <w:r>
              <w:rPr>
                <w:rFonts w:ascii="Times New Roman" w:hAnsi="Times New Roman" w:cs="Times New Roman"/>
                <w:kern w:val="0"/>
                <w:szCs w:val="21"/>
                <w:highlight w:val="none"/>
              </w:rPr>
              <w:t>递交截止时间</w:t>
            </w:r>
          </w:p>
        </w:tc>
        <w:tc>
          <w:tcPr>
            <w:tcW w:w="6895" w:type="dxa"/>
            <w:vAlign w:val="center"/>
          </w:tcPr>
          <w:p w14:paraId="399C138F">
            <w:pPr>
              <w:tabs>
                <w:tab w:val="left" w:pos="5220"/>
                <w:tab w:val="left" w:pos="5400"/>
                <w:tab w:val="left" w:pos="5580"/>
              </w:tabs>
              <w:autoSpaceDE w:val="0"/>
              <w:autoSpaceDN w:val="0"/>
              <w:spacing w:line="360" w:lineRule="auto"/>
              <w:jc w:val="left"/>
              <w:rPr>
                <w:rFonts w:ascii="Times New Roman" w:hAnsi="Times New Roman" w:cs="Times New Roman"/>
                <w:color w:val="000000"/>
                <w:szCs w:val="21"/>
                <w:highlight w:val="red"/>
              </w:rPr>
            </w:pPr>
            <w:r>
              <w:rPr>
                <w:rFonts w:hint="eastAsia" w:ascii="Times New Roman" w:hAnsi="Times New Roman" w:cs="Times New Roman"/>
                <w:kern w:val="0"/>
                <w:szCs w:val="21"/>
                <w:highlight w:val="none"/>
              </w:rPr>
              <w:t>比选申请文件</w:t>
            </w:r>
            <w:r>
              <w:rPr>
                <w:rFonts w:ascii="Times New Roman" w:hAnsi="Times New Roman" w:cs="Times New Roman"/>
                <w:kern w:val="0"/>
                <w:szCs w:val="21"/>
                <w:highlight w:val="none"/>
              </w:rPr>
              <w:t>递交截止时间</w:t>
            </w:r>
            <w:r>
              <w:rPr>
                <w:rFonts w:ascii="Times New Roman" w:hAnsi="Times New Roman" w:cs="Times New Roman"/>
                <w:color w:val="000000"/>
                <w:szCs w:val="21"/>
                <w:highlight w:val="none"/>
              </w:rPr>
              <w:t>为：</w:t>
            </w:r>
            <w:r>
              <w:rPr>
                <w:rFonts w:hint="default" w:ascii="Times New Roman" w:hAnsi="Times New Roman" w:eastAsia="宋体" w:cs="Times New Roman"/>
                <w:color w:val="000000"/>
                <w:kern w:val="0"/>
                <w:sz w:val="21"/>
                <w:szCs w:val="21"/>
                <w:highlight w:val="none"/>
                <w:lang w:val="en-US" w:eastAsia="zh-CN" w:bidi="ar-SA"/>
              </w:rPr>
              <w:t>202</w:t>
            </w:r>
            <w:r>
              <w:rPr>
                <w:rFonts w:hint="eastAsia" w:ascii="Times New Roman" w:hAnsi="Times New Roman" w:cs="Times New Roman"/>
                <w:color w:val="000000"/>
                <w:kern w:val="0"/>
                <w:sz w:val="21"/>
                <w:szCs w:val="21"/>
                <w:highlight w:val="none"/>
                <w:lang w:val="en-US" w:eastAsia="zh-CN" w:bidi="ar-SA"/>
              </w:rPr>
              <w:t>6</w:t>
            </w:r>
            <w:r>
              <w:rPr>
                <w:rFonts w:hint="default" w:ascii="Times New Roman" w:hAnsi="Times New Roman" w:eastAsia="宋体" w:cs="Times New Roman"/>
                <w:color w:val="000000"/>
                <w:kern w:val="0"/>
                <w:sz w:val="21"/>
                <w:szCs w:val="21"/>
                <w:highlight w:val="none"/>
                <w:lang w:val="en-US" w:eastAsia="zh-CN" w:bidi="ar-SA"/>
              </w:rPr>
              <w:t>年</w:t>
            </w:r>
            <w:r>
              <w:rPr>
                <w:rFonts w:hint="eastAsia" w:ascii="Times New Roman" w:hAnsi="Times New Roman" w:cs="Times New Roman"/>
                <w:color w:val="000000"/>
                <w:kern w:val="0"/>
                <w:sz w:val="21"/>
                <w:szCs w:val="21"/>
                <w:highlight w:val="none"/>
                <w:lang w:val="en-US" w:eastAsia="zh-CN" w:bidi="ar-SA"/>
              </w:rPr>
              <w:t>9</w:t>
            </w:r>
            <w:r>
              <w:rPr>
                <w:rFonts w:hint="default" w:ascii="Times New Roman" w:hAnsi="Times New Roman" w:eastAsia="宋体" w:cs="Times New Roman"/>
                <w:color w:val="000000"/>
                <w:kern w:val="0"/>
                <w:sz w:val="21"/>
                <w:szCs w:val="21"/>
                <w:highlight w:val="none"/>
                <w:lang w:val="en-US" w:eastAsia="zh-CN" w:bidi="ar-SA"/>
              </w:rPr>
              <w:t>月</w:t>
            </w:r>
            <w:r>
              <w:rPr>
                <w:rFonts w:hint="eastAsia" w:ascii="Times New Roman" w:hAnsi="Times New Roman" w:cs="Times New Roman"/>
                <w:color w:val="000000"/>
                <w:kern w:val="0"/>
                <w:sz w:val="21"/>
                <w:szCs w:val="21"/>
                <w:highlight w:val="none"/>
                <w:lang w:val="en-US" w:eastAsia="zh-CN" w:bidi="ar-SA"/>
              </w:rPr>
              <w:t>23</w:t>
            </w:r>
            <w:r>
              <w:rPr>
                <w:rFonts w:hint="default" w:ascii="Times New Roman" w:hAnsi="Times New Roman" w:eastAsia="宋体" w:cs="Times New Roman"/>
                <w:color w:val="000000"/>
                <w:kern w:val="0"/>
                <w:sz w:val="21"/>
                <w:szCs w:val="21"/>
                <w:highlight w:val="none"/>
                <w:lang w:val="en-US" w:eastAsia="zh-CN" w:bidi="ar-SA"/>
              </w:rPr>
              <w:t>日</w:t>
            </w:r>
            <w:r>
              <w:rPr>
                <w:rFonts w:hint="eastAsia" w:ascii="Times New Roman" w:hAnsi="Times New Roman" w:cs="Times New Roman"/>
                <w:color w:val="000000"/>
                <w:kern w:val="0"/>
                <w:sz w:val="21"/>
                <w:szCs w:val="21"/>
                <w:highlight w:val="none"/>
                <w:lang w:val="en-US" w:eastAsia="zh-CN" w:bidi="ar-SA"/>
              </w:rPr>
              <w:t>9</w:t>
            </w:r>
            <w:r>
              <w:rPr>
                <w:rFonts w:hint="default" w:ascii="Times New Roman" w:hAnsi="Times New Roman" w:eastAsia="宋体" w:cs="Times New Roman"/>
                <w:color w:val="000000"/>
                <w:kern w:val="0"/>
                <w:sz w:val="21"/>
                <w:szCs w:val="21"/>
                <w:highlight w:val="none"/>
                <w:lang w:val="en-US" w:eastAsia="zh-CN" w:bidi="ar-SA"/>
              </w:rPr>
              <w:t>时</w:t>
            </w:r>
            <w:r>
              <w:rPr>
                <w:rFonts w:hint="eastAsia" w:ascii="Times New Roman" w:hAnsi="Times New Roman" w:cs="Times New Roman"/>
                <w:color w:val="000000"/>
                <w:kern w:val="0"/>
                <w:sz w:val="21"/>
                <w:szCs w:val="21"/>
                <w:highlight w:val="none"/>
                <w:lang w:val="en-US" w:eastAsia="zh-CN" w:bidi="ar-SA"/>
              </w:rPr>
              <w:t>30</w:t>
            </w:r>
            <w:r>
              <w:rPr>
                <w:rFonts w:hint="default" w:ascii="Times New Roman" w:hAnsi="Times New Roman" w:eastAsia="宋体" w:cs="Times New Roman"/>
                <w:color w:val="000000"/>
                <w:kern w:val="0"/>
                <w:sz w:val="21"/>
                <w:szCs w:val="21"/>
                <w:highlight w:val="none"/>
                <w:lang w:val="en-US" w:eastAsia="zh-CN" w:bidi="ar-SA"/>
              </w:rPr>
              <w:t>分</w:t>
            </w:r>
            <w:r>
              <w:rPr>
                <w:rFonts w:ascii="Times New Roman" w:hAnsi="Times New Roman" w:cs="Times New Roman"/>
                <w:color w:val="000000"/>
                <w:szCs w:val="21"/>
                <w:highlight w:val="none"/>
              </w:rPr>
              <w:t>；</w:t>
            </w:r>
          </w:p>
          <w:p w14:paraId="396D5521">
            <w:pPr>
              <w:spacing w:line="360" w:lineRule="auto"/>
              <w:jc w:val="left"/>
              <w:rPr>
                <w:rFonts w:ascii="Times New Roman" w:hAnsi="Times New Roman" w:cs="Times New Roman"/>
                <w:color w:val="000000"/>
                <w:szCs w:val="21"/>
                <w:highlight w:val="red"/>
              </w:rPr>
            </w:pPr>
            <w:r>
              <w:rPr>
                <w:rFonts w:ascii="Times New Roman" w:hAnsi="Times New Roman" w:cs="Times New Roman"/>
                <w:color w:val="000000"/>
                <w:szCs w:val="21"/>
                <w:highlight w:val="none"/>
              </w:rPr>
              <w:t>注：若有补遗书修改的，以补遗书中确定的时间为准。</w:t>
            </w:r>
          </w:p>
        </w:tc>
      </w:tr>
      <w:tr w14:paraId="32805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jc w:val="center"/>
        </w:trPr>
        <w:tc>
          <w:tcPr>
            <w:tcW w:w="863" w:type="dxa"/>
            <w:vAlign w:val="center"/>
          </w:tcPr>
          <w:p w14:paraId="48C4EF7B">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19</w:t>
            </w:r>
          </w:p>
        </w:tc>
        <w:tc>
          <w:tcPr>
            <w:tcW w:w="1962" w:type="dxa"/>
            <w:vAlign w:val="center"/>
          </w:tcPr>
          <w:p w14:paraId="42413A52">
            <w:pPr>
              <w:pStyle w:val="11"/>
              <w:adjustRightInd w:val="0"/>
              <w:snapToGrid w:val="0"/>
              <w:spacing w:line="360" w:lineRule="exact"/>
              <w:jc w:val="center"/>
              <w:rPr>
                <w:rFonts w:ascii="Times New Roman" w:hAnsi="Times New Roman" w:cs="Times New Roman"/>
                <w:highlight w:val="none"/>
              </w:rPr>
            </w:pPr>
            <w:r>
              <w:rPr>
                <w:rFonts w:hint="eastAsia" w:ascii="Times New Roman" w:hAnsi="Times New Roman" w:cs="Times New Roman"/>
                <w:highlight w:val="none"/>
              </w:rPr>
              <w:t>比选申请文件</w:t>
            </w:r>
            <w:r>
              <w:rPr>
                <w:rFonts w:ascii="Times New Roman" w:hAnsi="Times New Roman" w:cs="Times New Roman"/>
                <w:highlight w:val="none"/>
              </w:rPr>
              <w:t>的组成</w:t>
            </w:r>
          </w:p>
        </w:tc>
        <w:tc>
          <w:tcPr>
            <w:tcW w:w="6895" w:type="dxa"/>
            <w:vAlign w:val="center"/>
          </w:tcPr>
          <w:p w14:paraId="56A6956E">
            <w:pPr>
              <w:pStyle w:val="22"/>
              <w:widowControl/>
              <w:spacing w:line="240" w:lineRule="auto"/>
              <w:ind w:firstLine="0" w:firstLineChars="0"/>
              <w:jc w:val="left"/>
              <w:rPr>
                <w:color w:val="000000"/>
                <w:szCs w:val="21"/>
                <w:highlight w:val="none"/>
              </w:rPr>
            </w:pPr>
            <w:r>
              <w:rPr>
                <w:szCs w:val="21"/>
                <w:highlight w:val="none"/>
              </w:rPr>
              <w:t>（1）</w:t>
            </w:r>
            <w:r>
              <w:rPr>
                <w:rFonts w:hint="eastAsia"/>
                <w:color w:val="000000"/>
                <w:szCs w:val="21"/>
                <w:highlight w:val="none"/>
              </w:rPr>
              <w:t>比选申请</w:t>
            </w:r>
            <w:r>
              <w:rPr>
                <w:color w:val="000000"/>
                <w:szCs w:val="21"/>
                <w:highlight w:val="none"/>
              </w:rPr>
              <w:t>函及</w:t>
            </w:r>
            <w:r>
              <w:rPr>
                <w:rFonts w:hint="eastAsia"/>
                <w:color w:val="000000"/>
                <w:szCs w:val="21"/>
                <w:highlight w:val="none"/>
              </w:rPr>
              <w:t>比选申请</w:t>
            </w:r>
            <w:r>
              <w:rPr>
                <w:color w:val="000000"/>
                <w:szCs w:val="21"/>
                <w:highlight w:val="none"/>
              </w:rPr>
              <w:t>函附录</w:t>
            </w:r>
          </w:p>
          <w:p w14:paraId="4AA10572">
            <w:pPr>
              <w:pStyle w:val="22"/>
              <w:widowControl/>
              <w:spacing w:line="240" w:lineRule="auto"/>
              <w:ind w:firstLine="0" w:firstLineChars="0"/>
              <w:jc w:val="left"/>
              <w:rPr>
                <w:color w:val="000000"/>
                <w:szCs w:val="21"/>
                <w:highlight w:val="none"/>
              </w:rPr>
            </w:pPr>
            <w:r>
              <w:rPr>
                <w:szCs w:val="21"/>
                <w:highlight w:val="none"/>
              </w:rPr>
              <w:t>（2）</w:t>
            </w:r>
            <w:r>
              <w:rPr>
                <w:color w:val="000000"/>
                <w:szCs w:val="21"/>
                <w:highlight w:val="none"/>
              </w:rPr>
              <w:t>法定代表人身份证明</w:t>
            </w:r>
          </w:p>
          <w:p w14:paraId="0AAA155C">
            <w:pPr>
              <w:pStyle w:val="22"/>
              <w:widowControl/>
              <w:spacing w:line="240" w:lineRule="auto"/>
              <w:ind w:firstLine="0" w:firstLineChars="0"/>
              <w:jc w:val="left"/>
              <w:rPr>
                <w:color w:val="000000"/>
                <w:szCs w:val="21"/>
                <w:highlight w:val="none"/>
              </w:rPr>
            </w:pPr>
            <w:r>
              <w:rPr>
                <w:szCs w:val="21"/>
                <w:highlight w:val="none"/>
              </w:rPr>
              <w:t>（3）</w:t>
            </w:r>
            <w:r>
              <w:rPr>
                <w:color w:val="000000"/>
                <w:szCs w:val="21"/>
                <w:highlight w:val="none"/>
              </w:rPr>
              <w:t>授权委托书</w:t>
            </w:r>
          </w:p>
          <w:p w14:paraId="1900CD18">
            <w:pPr>
              <w:pStyle w:val="22"/>
              <w:widowControl/>
              <w:spacing w:line="240" w:lineRule="auto"/>
              <w:ind w:firstLine="0" w:firstLineChars="0"/>
              <w:jc w:val="left"/>
              <w:rPr>
                <w:color w:val="000000"/>
                <w:szCs w:val="21"/>
                <w:highlight w:val="none"/>
              </w:rPr>
            </w:pPr>
            <w:r>
              <w:rPr>
                <w:szCs w:val="21"/>
                <w:highlight w:val="none"/>
              </w:rPr>
              <w:t>（4）</w:t>
            </w:r>
            <w:r>
              <w:rPr>
                <w:color w:val="000000"/>
                <w:szCs w:val="21"/>
                <w:highlight w:val="none"/>
              </w:rPr>
              <w:t>项目管理机构</w:t>
            </w:r>
          </w:p>
          <w:p w14:paraId="5B14969B">
            <w:pPr>
              <w:pStyle w:val="22"/>
              <w:widowControl/>
              <w:spacing w:line="240" w:lineRule="auto"/>
              <w:ind w:firstLine="0" w:firstLineChars="0"/>
              <w:jc w:val="left"/>
              <w:rPr>
                <w:color w:val="000000"/>
                <w:szCs w:val="21"/>
                <w:highlight w:val="none"/>
              </w:rPr>
            </w:pPr>
            <w:r>
              <w:rPr>
                <w:szCs w:val="21"/>
                <w:highlight w:val="none"/>
              </w:rPr>
              <w:t>（</w:t>
            </w:r>
            <w:r>
              <w:rPr>
                <w:rFonts w:hint="eastAsia"/>
                <w:szCs w:val="21"/>
                <w:highlight w:val="none"/>
                <w:lang w:val="en-US" w:eastAsia="zh-CN"/>
              </w:rPr>
              <w:t>5</w:t>
            </w:r>
            <w:r>
              <w:rPr>
                <w:szCs w:val="21"/>
                <w:highlight w:val="none"/>
              </w:rPr>
              <w:t>）</w:t>
            </w:r>
            <w:r>
              <w:rPr>
                <w:color w:val="000000"/>
                <w:szCs w:val="21"/>
                <w:highlight w:val="none"/>
              </w:rPr>
              <w:t>资格审查资料</w:t>
            </w:r>
          </w:p>
          <w:p w14:paraId="5D19F5FB">
            <w:pPr>
              <w:pStyle w:val="22"/>
              <w:widowControl/>
              <w:spacing w:line="240" w:lineRule="auto"/>
              <w:ind w:firstLine="0" w:firstLineChars="0"/>
              <w:jc w:val="left"/>
              <w:rPr>
                <w:rFonts w:hint="default" w:eastAsia="宋体"/>
                <w:kern w:val="0"/>
                <w:sz w:val="28"/>
                <w:szCs w:val="20"/>
                <w:highlight w:val="none"/>
                <w:lang w:val="en-US" w:eastAsia="zh-CN"/>
              </w:rPr>
            </w:pPr>
            <w:r>
              <w:rPr>
                <w:szCs w:val="21"/>
                <w:highlight w:val="none"/>
              </w:rPr>
              <w:t>（</w:t>
            </w:r>
            <w:r>
              <w:rPr>
                <w:rFonts w:hint="eastAsia"/>
                <w:szCs w:val="21"/>
                <w:highlight w:val="none"/>
                <w:lang w:val="en-US" w:eastAsia="zh-CN"/>
              </w:rPr>
              <w:t>6</w:t>
            </w:r>
            <w:r>
              <w:rPr>
                <w:szCs w:val="21"/>
                <w:highlight w:val="none"/>
              </w:rPr>
              <w:t>）</w:t>
            </w:r>
            <w:r>
              <w:rPr>
                <w:rFonts w:hint="eastAsia"/>
                <w:color w:val="000000"/>
                <w:highlight w:val="none"/>
                <w:lang w:val="en-US" w:eastAsia="zh-CN"/>
              </w:rPr>
              <w:t>施工组织设计</w:t>
            </w:r>
          </w:p>
          <w:p w14:paraId="151A7A33">
            <w:pPr>
              <w:pStyle w:val="22"/>
              <w:widowControl/>
              <w:spacing w:line="240" w:lineRule="auto"/>
              <w:ind w:firstLine="0" w:firstLineChars="0"/>
              <w:jc w:val="left"/>
              <w:rPr>
                <w:kern w:val="0"/>
                <w:sz w:val="28"/>
                <w:szCs w:val="20"/>
                <w:highlight w:val="none"/>
              </w:rPr>
            </w:pPr>
            <w:r>
              <w:rPr>
                <w:szCs w:val="21"/>
                <w:highlight w:val="none"/>
              </w:rPr>
              <w:t>（</w:t>
            </w:r>
            <w:r>
              <w:rPr>
                <w:rFonts w:hint="eastAsia"/>
                <w:szCs w:val="21"/>
                <w:highlight w:val="none"/>
                <w:lang w:val="en-US" w:eastAsia="zh-CN"/>
              </w:rPr>
              <w:t>7</w:t>
            </w:r>
            <w:r>
              <w:rPr>
                <w:szCs w:val="21"/>
                <w:highlight w:val="none"/>
              </w:rPr>
              <w:t>）</w:t>
            </w:r>
            <w:r>
              <w:rPr>
                <w:color w:val="000000"/>
                <w:szCs w:val="21"/>
                <w:highlight w:val="none"/>
              </w:rPr>
              <w:t>其他资料</w:t>
            </w:r>
          </w:p>
        </w:tc>
      </w:tr>
      <w:tr w14:paraId="4CD8A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63" w:type="dxa"/>
            <w:vAlign w:val="center"/>
          </w:tcPr>
          <w:p w14:paraId="317D6FD9">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20</w:t>
            </w:r>
          </w:p>
        </w:tc>
        <w:tc>
          <w:tcPr>
            <w:tcW w:w="1962" w:type="dxa"/>
            <w:vAlign w:val="center"/>
          </w:tcPr>
          <w:p w14:paraId="5F8EFE7C">
            <w:pPr>
              <w:pStyle w:val="11"/>
              <w:spacing w:line="320" w:lineRule="exact"/>
              <w:jc w:val="center"/>
              <w:rPr>
                <w:rFonts w:ascii="Times New Roman" w:hAnsi="Times New Roman" w:cs="Times New Roman"/>
                <w:bCs/>
                <w:color w:val="000000"/>
                <w:highlight w:val="none"/>
              </w:rPr>
            </w:pPr>
            <w:r>
              <w:rPr>
                <w:rFonts w:ascii="Times New Roman" w:hAnsi="Times New Roman" w:cs="Times New Roman"/>
                <w:bCs/>
                <w:color w:val="000000"/>
                <w:highlight w:val="none"/>
              </w:rPr>
              <w:t>★</w:t>
            </w:r>
            <w:r>
              <w:rPr>
                <w:rFonts w:ascii="Times New Roman" w:hAnsi="Times New Roman" w:cs="Times New Roman"/>
                <w:b/>
                <w:bCs/>
                <w:highlight w:val="none"/>
              </w:rPr>
              <w:t>最高</w:t>
            </w:r>
            <w:r>
              <w:rPr>
                <w:rFonts w:hint="eastAsia" w:ascii="Times New Roman" w:hAnsi="Times New Roman" w:cs="Times New Roman"/>
                <w:b/>
                <w:bCs/>
                <w:highlight w:val="none"/>
              </w:rPr>
              <w:t>比选申请</w:t>
            </w:r>
            <w:r>
              <w:rPr>
                <w:rFonts w:ascii="Times New Roman" w:hAnsi="Times New Roman" w:cs="Times New Roman"/>
                <w:b/>
                <w:bCs/>
                <w:highlight w:val="none"/>
              </w:rPr>
              <w:t>限价</w:t>
            </w:r>
          </w:p>
        </w:tc>
        <w:tc>
          <w:tcPr>
            <w:tcW w:w="6895" w:type="dxa"/>
            <w:vAlign w:val="center"/>
          </w:tcPr>
          <w:p w14:paraId="49AD36CA">
            <w:pPr>
              <w:pStyle w:val="23"/>
              <w:keepNext w:val="0"/>
              <w:keepLines w:val="0"/>
              <w:pageBreakBefore w:val="0"/>
              <w:numPr>
                <w:ilvl w:val="0"/>
                <w:numId w:val="3"/>
              </w:numPr>
              <w:wordWrap/>
              <w:topLinePunct w:val="0"/>
              <w:bidi w:val="0"/>
              <w:snapToGrid/>
              <w:spacing w:line="360" w:lineRule="auto"/>
              <w:ind w:right="105" w:rightChars="50" w:firstLine="0" w:firstLineChars="0"/>
              <w:jc w:val="left"/>
              <w:textAlignment w:val="auto"/>
              <w:rPr>
                <w:highlight w:val="none"/>
              </w:rPr>
            </w:pPr>
            <w:bookmarkStart w:id="15" w:name="OLE_LINK22"/>
            <w:bookmarkStart w:id="16" w:name="OLE_LINK23"/>
            <w:r>
              <w:rPr>
                <w:rFonts w:hint="eastAsia" w:ascii="宋体" w:hAnsi="宋体" w:eastAsia="宋体" w:cs="宋体"/>
                <w:color w:val="auto"/>
                <w:kern w:val="2"/>
                <w:sz w:val="21"/>
                <w:szCs w:val="21"/>
                <w:highlight w:val="none"/>
              </w:rPr>
              <w:t>本项目</w:t>
            </w:r>
            <w:r>
              <w:rPr>
                <w:rFonts w:hint="eastAsia" w:ascii="宋体" w:hAnsi="宋体" w:eastAsia="宋体" w:cs="宋体"/>
                <w:color w:val="auto"/>
                <w:kern w:val="2"/>
                <w:sz w:val="21"/>
                <w:szCs w:val="21"/>
                <w:highlight w:val="none"/>
                <w:lang w:val="en-US" w:eastAsia="zh-CN"/>
              </w:rPr>
              <w:t>最高比选申请限价</w:t>
            </w:r>
            <w:r>
              <w:rPr>
                <w:rFonts w:hint="eastAsia" w:ascii="宋体" w:hAnsi="宋体" w:eastAsia="宋体" w:cs="宋体"/>
                <w:color w:val="auto"/>
                <w:kern w:val="2"/>
                <w:sz w:val="21"/>
                <w:szCs w:val="21"/>
                <w:highlight w:val="none"/>
              </w:rPr>
              <w:t>为</w:t>
            </w:r>
            <w:r>
              <w:rPr>
                <w:rFonts w:hint="eastAsia" w:ascii="宋体" w:hAnsi="宋体" w:eastAsia="宋体" w:cs="宋体"/>
                <w:color w:val="auto"/>
                <w:kern w:val="2"/>
                <w:sz w:val="21"/>
                <w:szCs w:val="21"/>
                <w:highlight w:val="none"/>
                <w:lang w:eastAsia="zh-CN"/>
              </w:rPr>
              <w:t>：</w:t>
            </w:r>
            <w:r>
              <w:rPr>
                <w:rFonts w:hint="eastAsia" w:ascii="宋体" w:hAnsi="宋体" w:eastAsia="宋体" w:cs="宋体"/>
                <w:bCs w:val="0"/>
                <w:color w:val="auto"/>
                <w:kern w:val="2"/>
                <w:sz w:val="21"/>
                <w:szCs w:val="21"/>
                <w:highlight w:val="none"/>
                <w:lang w:val="en-US" w:eastAsia="zh-CN"/>
              </w:rPr>
              <w:t>招标控制价（施工图预算）基础上的取费比例</w:t>
            </w:r>
            <w:r>
              <w:rPr>
                <w:rFonts w:hint="eastAsia" w:ascii="宋体" w:hAnsi="宋体" w:eastAsia="宋体" w:cs="宋体"/>
                <w:bCs w:val="0"/>
                <w:color w:val="auto"/>
                <w:kern w:val="2"/>
                <w:sz w:val="21"/>
                <w:szCs w:val="21"/>
                <w:highlight w:val="none"/>
                <w:u w:val="none"/>
                <w:lang w:val="en-US" w:eastAsia="zh-CN"/>
              </w:rPr>
              <w:t>100</w:t>
            </w:r>
            <w:r>
              <w:rPr>
                <w:rFonts w:hint="eastAsia" w:ascii="宋体" w:hAnsi="宋体" w:eastAsia="宋体" w:cs="宋体"/>
                <w:bCs w:val="0"/>
                <w:color w:val="auto"/>
                <w:kern w:val="2"/>
                <w:sz w:val="21"/>
                <w:szCs w:val="21"/>
                <w:highlight w:val="none"/>
                <w:lang w:val="en-US" w:eastAsia="zh-CN"/>
              </w:rPr>
              <w:t>%</w:t>
            </w:r>
            <w:bookmarkEnd w:id="15"/>
            <w:bookmarkEnd w:id="16"/>
            <w:r>
              <w:rPr>
                <w:rFonts w:hint="eastAsia" w:ascii="宋体" w:hAnsi="宋体" w:eastAsia="宋体" w:cs="宋体"/>
                <w:bCs w:val="0"/>
                <w:color w:val="auto"/>
                <w:kern w:val="2"/>
                <w:sz w:val="21"/>
                <w:szCs w:val="21"/>
                <w:highlight w:val="none"/>
                <w:lang w:val="en-US" w:eastAsia="zh-CN"/>
              </w:rPr>
              <w:t>。</w:t>
            </w:r>
          </w:p>
        </w:tc>
      </w:tr>
      <w:tr w14:paraId="584CB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863" w:type="dxa"/>
            <w:vAlign w:val="center"/>
          </w:tcPr>
          <w:p w14:paraId="6F4DE696">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21</w:t>
            </w:r>
          </w:p>
        </w:tc>
        <w:tc>
          <w:tcPr>
            <w:tcW w:w="1962" w:type="dxa"/>
            <w:vAlign w:val="center"/>
          </w:tcPr>
          <w:p w14:paraId="03AF3C2A">
            <w:pPr>
              <w:pStyle w:val="11"/>
              <w:spacing w:line="320" w:lineRule="exact"/>
              <w:jc w:val="center"/>
              <w:rPr>
                <w:rFonts w:ascii="Times New Roman" w:hAnsi="Times New Roman" w:cs="Times New Roman"/>
                <w:highlight w:val="none"/>
              </w:rPr>
            </w:pPr>
            <w:r>
              <w:rPr>
                <w:rFonts w:ascii="Times New Roman" w:hAnsi="Times New Roman" w:cs="Times New Roman"/>
                <w:highlight w:val="none"/>
              </w:rPr>
              <w:t>报价方式</w:t>
            </w:r>
          </w:p>
        </w:tc>
        <w:tc>
          <w:tcPr>
            <w:tcW w:w="6895" w:type="dxa"/>
            <w:vAlign w:val="center"/>
          </w:tcPr>
          <w:p w14:paraId="25620EA5">
            <w:pPr>
              <w:pStyle w:val="11"/>
              <w:spacing w:line="360" w:lineRule="auto"/>
              <w:rPr>
                <w:rFonts w:ascii="Times New Roman" w:hAnsi="Times New Roman" w:cs="Times New Roman"/>
                <w:highlight w:val="none"/>
              </w:rPr>
            </w:pPr>
            <w:r>
              <w:rPr>
                <w:rFonts w:hint="eastAsia" w:ascii="宋体" w:hAnsi="宋体" w:eastAsia="宋体" w:cs="宋体"/>
                <w:color w:val="auto"/>
                <w:kern w:val="2"/>
                <w:sz w:val="21"/>
                <w:szCs w:val="21"/>
                <w:highlight w:val="none"/>
                <w:lang w:val="en-US" w:eastAsia="zh-CN"/>
              </w:rPr>
              <w:t>取费比例</w:t>
            </w:r>
          </w:p>
        </w:tc>
      </w:tr>
      <w:tr w14:paraId="077A8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jc w:val="center"/>
        </w:trPr>
        <w:tc>
          <w:tcPr>
            <w:tcW w:w="863" w:type="dxa"/>
            <w:vAlign w:val="center"/>
          </w:tcPr>
          <w:p w14:paraId="0D131344">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22</w:t>
            </w:r>
          </w:p>
        </w:tc>
        <w:tc>
          <w:tcPr>
            <w:tcW w:w="1962" w:type="dxa"/>
            <w:vAlign w:val="center"/>
          </w:tcPr>
          <w:p w14:paraId="04854447">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构成</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的其他材料</w:t>
            </w:r>
          </w:p>
        </w:tc>
        <w:tc>
          <w:tcPr>
            <w:tcW w:w="6895" w:type="dxa"/>
            <w:vAlign w:val="center"/>
          </w:tcPr>
          <w:p w14:paraId="74002759">
            <w:pPr>
              <w:spacing w:line="420" w:lineRule="exact"/>
              <w:rPr>
                <w:rFonts w:ascii="Times New Roman" w:hAnsi="Times New Roman" w:cs="Times New Roman"/>
                <w:color w:val="000000"/>
                <w:szCs w:val="21"/>
                <w:highlight w:val="none"/>
              </w:rPr>
            </w:pPr>
            <w:r>
              <w:rPr>
                <w:rFonts w:ascii="Times New Roman" w:hAnsi="Times New Roman" w:cs="Times New Roman"/>
                <w:kern w:val="0"/>
                <w:szCs w:val="21"/>
                <w:highlight w:val="none"/>
              </w:rPr>
              <w:t>见“第</w:t>
            </w:r>
            <w:r>
              <w:rPr>
                <w:rFonts w:hint="eastAsia" w:ascii="Times New Roman" w:hAnsi="Times New Roman" w:cs="Times New Roman"/>
                <w:kern w:val="0"/>
                <w:szCs w:val="21"/>
                <w:highlight w:val="none"/>
                <w:lang w:val="en-US" w:eastAsia="zh-CN"/>
              </w:rPr>
              <w:t>六</w:t>
            </w:r>
            <w:r>
              <w:rPr>
                <w:rFonts w:ascii="Times New Roman" w:hAnsi="Times New Roman" w:cs="Times New Roman"/>
                <w:kern w:val="0"/>
                <w:szCs w:val="21"/>
                <w:highlight w:val="none"/>
              </w:rPr>
              <w:t xml:space="preserve">章 </w:t>
            </w:r>
            <w:r>
              <w:rPr>
                <w:rFonts w:hint="eastAsia" w:ascii="Times New Roman" w:hAnsi="Times New Roman" w:cs="Times New Roman"/>
                <w:kern w:val="0"/>
                <w:szCs w:val="21"/>
                <w:highlight w:val="none"/>
              </w:rPr>
              <w:t>比选申请文件</w:t>
            </w:r>
            <w:r>
              <w:rPr>
                <w:rFonts w:ascii="Times New Roman" w:hAnsi="Times New Roman" w:cs="Times New Roman"/>
                <w:kern w:val="0"/>
                <w:szCs w:val="21"/>
                <w:highlight w:val="none"/>
              </w:rPr>
              <w:t>格式”目录</w:t>
            </w:r>
          </w:p>
        </w:tc>
      </w:tr>
      <w:tr w14:paraId="4699F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863" w:type="dxa"/>
            <w:vAlign w:val="center"/>
          </w:tcPr>
          <w:p w14:paraId="3C099FB7">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23</w:t>
            </w:r>
          </w:p>
        </w:tc>
        <w:tc>
          <w:tcPr>
            <w:tcW w:w="1962" w:type="dxa"/>
            <w:vAlign w:val="center"/>
          </w:tcPr>
          <w:p w14:paraId="09DE5C77">
            <w:pPr>
              <w:spacing w:line="360" w:lineRule="auto"/>
              <w:jc w:val="center"/>
              <w:rPr>
                <w:rFonts w:ascii="Times New Roman" w:hAnsi="Times New Roman" w:cs="Times New Roman"/>
                <w:color w:val="000000"/>
                <w:szCs w:val="21"/>
                <w:highlight w:val="none"/>
              </w:rPr>
            </w:pPr>
            <w:r>
              <w:rPr>
                <w:rFonts w:ascii="Times New Roman" w:hAnsi="Times New Roman" w:cs="Times New Roman"/>
                <w:b/>
                <w:color w:val="000000"/>
                <w:szCs w:val="21"/>
                <w:highlight w:val="none"/>
              </w:rPr>
              <w:t>★</w:t>
            </w:r>
            <w:r>
              <w:rPr>
                <w:rFonts w:ascii="Times New Roman" w:hAnsi="Times New Roman" w:cs="Times New Roman"/>
                <w:color w:val="000000"/>
                <w:szCs w:val="21"/>
                <w:highlight w:val="none"/>
              </w:rPr>
              <w:t>报价唯一</w:t>
            </w:r>
          </w:p>
        </w:tc>
        <w:tc>
          <w:tcPr>
            <w:tcW w:w="6895" w:type="dxa"/>
            <w:vAlign w:val="center"/>
          </w:tcPr>
          <w:p w14:paraId="2FEC8693">
            <w:pPr>
              <w:keepNext w:val="0"/>
              <w:keepLines w:val="0"/>
              <w:pageBreakBefore w:val="0"/>
              <w:wordWrap/>
              <w:topLinePunct w:val="0"/>
              <w:bidi w:val="0"/>
              <w:snapToGrid/>
              <w:spacing w:line="360" w:lineRule="auto"/>
              <w:ind w:left="105" w:leftChars="50" w:right="105" w:rightChars="50" w:firstLine="0" w:firstLine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1.本次</w:t>
            </w:r>
            <w:r>
              <w:rPr>
                <w:rFonts w:hint="eastAsia" w:ascii="宋体" w:hAnsi="宋体" w:cs="宋体"/>
                <w:color w:val="auto"/>
                <w:kern w:val="0"/>
                <w:sz w:val="21"/>
                <w:szCs w:val="21"/>
                <w:highlight w:val="none"/>
                <w:lang w:val="en-US" w:eastAsia="zh-CN"/>
              </w:rPr>
              <w:t>比选</w:t>
            </w:r>
            <w:r>
              <w:rPr>
                <w:rFonts w:hint="eastAsia" w:ascii="宋体" w:hAnsi="宋体" w:eastAsia="宋体" w:cs="宋体"/>
                <w:color w:val="auto"/>
                <w:kern w:val="0"/>
                <w:sz w:val="21"/>
                <w:szCs w:val="21"/>
                <w:highlight w:val="none"/>
              </w:rPr>
              <w:t>报价为一次性报价；只能有一个</w:t>
            </w:r>
            <w:r>
              <w:rPr>
                <w:rFonts w:hint="eastAsia" w:ascii="宋体" w:hAnsi="宋体" w:cs="宋体"/>
                <w:color w:val="auto"/>
                <w:kern w:val="0"/>
                <w:sz w:val="21"/>
                <w:szCs w:val="21"/>
                <w:highlight w:val="none"/>
                <w:lang w:eastAsia="zh-CN"/>
              </w:rPr>
              <w:t>取费比例</w:t>
            </w:r>
            <w:r>
              <w:rPr>
                <w:rFonts w:hint="eastAsia" w:ascii="宋体" w:hAnsi="宋体" w:eastAsia="宋体" w:cs="宋体"/>
                <w:color w:val="auto"/>
                <w:kern w:val="0"/>
                <w:sz w:val="21"/>
                <w:szCs w:val="21"/>
                <w:highlight w:val="none"/>
              </w:rPr>
              <w:t>，不能进行选择性报价；不接受具有附加条件的报价；不接受报价外的额外优惠、特殊优惠及赠送（或零报价）等报价方式；</w:t>
            </w:r>
          </w:p>
          <w:p w14:paraId="6FBEA6B1">
            <w:pPr>
              <w:spacing w:line="360" w:lineRule="auto"/>
              <w:ind w:left="16" w:leftChars="8"/>
              <w:rPr>
                <w:rFonts w:ascii="Times New Roman" w:hAnsi="Times New Roman" w:cs="Times New Roman"/>
                <w:color w:val="000000"/>
                <w:szCs w:val="21"/>
                <w:highlight w:val="none"/>
              </w:rPr>
            </w:pPr>
            <w:r>
              <w:rPr>
                <w:rFonts w:hint="eastAsia" w:ascii="宋体" w:hAnsi="宋体" w:eastAsia="宋体" w:cs="宋体"/>
                <w:color w:val="auto"/>
                <w:kern w:val="0"/>
                <w:sz w:val="21"/>
                <w:szCs w:val="21"/>
                <w:highlight w:val="none"/>
              </w:rPr>
              <w:t>2.</w:t>
            </w:r>
            <w:r>
              <w:rPr>
                <w:rFonts w:hint="eastAsia" w:ascii="宋体" w:hAnsi="宋体" w:cs="宋体"/>
                <w:color w:val="auto"/>
                <w:kern w:val="0"/>
                <w:sz w:val="21"/>
                <w:szCs w:val="21"/>
                <w:highlight w:val="none"/>
                <w:lang w:val="en-US" w:eastAsia="zh-CN"/>
              </w:rPr>
              <w:t>比选</w:t>
            </w:r>
            <w:r>
              <w:rPr>
                <w:rFonts w:hint="eastAsia" w:ascii="宋体" w:hAnsi="宋体" w:eastAsia="宋体" w:cs="宋体"/>
                <w:color w:val="auto"/>
                <w:kern w:val="0"/>
                <w:sz w:val="21"/>
                <w:szCs w:val="21"/>
                <w:highlight w:val="none"/>
              </w:rPr>
              <w:t>报价不得超过</w:t>
            </w:r>
            <w:r>
              <w:rPr>
                <w:rFonts w:hint="eastAsia" w:ascii="宋体" w:hAnsi="宋体" w:cs="宋体"/>
                <w:color w:val="auto"/>
                <w:kern w:val="0"/>
                <w:sz w:val="21"/>
                <w:szCs w:val="21"/>
                <w:highlight w:val="none"/>
                <w:lang w:val="en-US" w:eastAsia="zh-CN"/>
              </w:rPr>
              <w:t>比选</w:t>
            </w:r>
            <w:r>
              <w:rPr>
                <w:rFonts w:hint="eastAsia" w:ascii="宋体" w:hAnsi="宋体" w:eastAsia="宋体" w:cs="宋体"/>
                <w:color w:val="auto"/>
                <w:kern w:val="0"/>
                <w:sz w:val="21"/>
                <w:szCs w:val="21"/>
                <w:highlight w:val="none"/>
              </w:rPr>
              <w:t>人公布的</w:t>
            </w:r>
            <w:r>
              <w:rPr>
                <w:rFonts w:hint="eastAsia" w:ascii="宋体" w:hAnsi="宋体" w:cs="宋体"/>
                <w:color w:val="auto"/>
                <w:kern w:val="0"/>
                <w:sz w:val="21"/>
                <w:szCs w:val="21"/>
                <w:highlight w:val="none"/>
                <w:lang w:eastAsia="zh-CN"/>
              </w:rPr>
              <w:t>最高</w:t>
            </w:r>
            <w:r>
              <w:rPr>
                <w:rFonts w:hint="eastAsia" w:ascii="宋体" w:hAnsi="宋体" w:cs="宋体"/>
                <w:color w:val="auto"/>
                <w:kern w:val="0"/>
                <w:sz w:val="21"/>
                <w:szCs w:val="21"/>
                <w:highlight w:val="none"/>
                <w:lang w:val="en-US" w:eastAsia="zh-CN"/>
              </w:rPr>
              <w:t>比选申请</w:t>
            </w:r>
            <w:r>
              <w:rPr>
                <w:rFonts w:hint="eastAsia" w:ascii="宋体" w:hAnsi="宋体" w:eastAsia="宋体" w:cs="宋体"/>
                <w:color w:val="auto"/>
                <w:kern w:val="0"/>
                <w:sz w:val="21"/>
                <w:szCs w:val="21"/>
                <w:highlight w:val="none"/>
              </w:rPr>
              <w:t>限价</w:t>
            </w:r>
            <w:r>
              <w:rPr>
                <w:rFonts w:hint="eastAsia" w:ascii="宋体" w:hAnsi="宋体" w:eastAsia="宋体" w:cs="宋体"/>
                <w:color w:val="auto"/>
                <w:kern w:val="2"/>
                <w:sz w:val="21"/>
                <w:szCs w:val="21"/>
                <w:highlight w:val="none"/>
              </w:rPr>
              <w:t>，否则按否决</w:t>
            </w:r>
            <w:r>
              <w:rPr>
                <w:rFonts w:hint="eastAsia" w:ascii="宋体" w:hAnsi="宋体" w:cs="宋体"/>
                <w:color w:val="auto"/>
                <w:kern w:val="2"/>
                <w:sz w:val="21"/>
                <w:szCs w:val="21"/>
                <w:highlight w:val="none"/>
                <w:lang w:val="en-US" w:eastAsia="zh-CN"/>
              </w:rPr>
              <w:t>比选申请</w:t>
            </w:r>
            <w:r>
              <w:rPr>
                <w:rFonts w:hint="eastAsia" w:ascii="宋体" w:hAnsi="宋体" w:eastAsia="宋体" w:cs="宋体"/>
                <w:color w:val="auto"/>
                <w:kern w:val="2"/>
                <w:sz w:val="21"/>
                <w:szCs w:val="21"/>
                <w:highlight w:val="none"/>
              </w:rPr>
              <w:t>处理</w:t>
            </w:r>
            <w:r>
              <w:rPr>
                <w:rFonts w:hint="eastAsia" w:ascii="宋体" w:hAnsi="宋体" w:eastAsia="宋体" w:cs="宋体"/>
                <w:color w:val="auto"/>
                <w:kern w:val="0"/>
                <w:sz w:val="21"/>
                <w:szCs w:val="21"/>
                <w:highlight w:val="none"/>
              </w:rPr>
              <w:t>。</w:t>
            </w:r>
          </w:p>
        </w:tc>
      </w:tr>
      <w:tr w14:paraId="1F30F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863" w:type="dxa"/>
            <w:vAlign w:val="center"/>
          </w:tcPr>
          <w:p w14:paraId="69063585">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24</w:t>
            </w:r>
          </w:p>
        </w:tc>
        <w:tc>
          <w:tcPr>
            <w:tcW w:w="1962" w:type="dxa"/>
            <w:vAlign w:val="center"/>
          </w:tcPr>
          <w:p w14:paraId="4995FE6D">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有效期</w:t>
            </w:r>
          </w:p>
        </w:tc>
        <w:tc>
          <w:tcPr>
            <w:tcW w:w="6895" w:type="dxa"/>
            <w:vAlign w:val="center"/>
          </w:tcPr>
          <w:p w14:paraId="6E5E7546">
            <w:pPr>
              <w:pStyle w:val="8"/>
              <w:spacing w:line="360" w:lineRule="auto"/>
              <w:ind w:right="149" w:rightChars="71"/>
              <w:rPr>
                <w:color w:val="000000"/>
                <w:szCs w:val="21"/>
                <w:highlight w:val="red"/>
              </w:rPr>
            </w:pPr>
            <w:r>
              <w:rPr>
                <w:color w:val="000000"/>
                <w:szCs w:val="21"/>
                <w:highlight w:val="none"/>
              </w:rPr>
              <w:t>从</w:t>
            </w:r>
            <w:r>
              <w:rPr>
                <w:rFonts w:hint="eastAsia"/>
                <w:color w:val="000000"/>
                <w:szCs w:val="21"/>
                <w:highlight w:val="none"/>
              </w:rPr>
              <w:t>比选申请文件</w:t>
            </w:r>
            <w:r>
              <w:rPr>
                <w:color w:val="000000"/>
                <w:szCs w:val="21"/>
                <w:highlight w:val="none"/>
              </w:rPr>
              <w:t>递交截止</w:t>
            </w:r>
            <w:r>
              <w:rPr>
                <w:rFonts w:hint="eastAsia"/>
                <w:color w:val="000000"/>
                <w:szCs w:val="21"/>
                <w:highlight w:val="none"/>
              </w:rPr>
              <w:t>时间</w:t>
            </w:r>
            <w:r>
              <w:rPr>
                <w:color w:val="000000"/>
                <w:szCs w:val="21"/>
                <w:highlight w:val="none"/>
              </w:rPr>
              <w:t>起</w:t>
            </w:r>
            <w:r>
              <w:rPr>
                <w:color w:val="000000"/>
                <w:szCs w:val="21"/>
                <w:highlight w:val="none"/>
                <w:u w:val="single"/>
              </w:rPr>
              <w:t>60</w:t>
            </w:r>
            <w:r>
              <w:rPr>
                <w:color w:val="000000"/>
                <w:szCs w:val="21"/>
                <w:highlight w:val="none"/>
              </w:rPr>
              <w:t>个日历天</w:t>
            </w:r>
          </w:p>
        </w:tc>
      </w:tr>
      <w:tr w14:paraId="4B5CA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dxa"/>
            <w:vAlign w:val="center"/>
          </w:tcPr>
          <w:p w14:paraId="5A839EFC">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25</w:t>
            </w:r>
          </w:p>
        </w:tc>
        <w:tc>
          <w:tcPr>
            <w:tcW w:w="1962" w:type="dxa"/>
            <w:vAlign w:val="center"/>
          </w:tcPr>
          <w:p w14:paraId="14B6FBDA">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★是否允许递交备选</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方案</w:t>
            </w:r>
          </w:p>
        </w:tc>
        <w:tc>
          <w:tcPr>
            <w:tcW w:w="6895" w:type="dxa"/>
            <w:vAlign w:val="center"/>
          </w:tcPr>
          <w:p w14:paraId="5AD0FC8B">
            <w:pPr>
              <w:spacing w:line="360" w:lineRule="auto"/>
              <w:rPr>
                <w:rFonts w:ascii="Times New Roman" w:hAnsi="Times New Roman" w:cs="Times New Roman"/>
                <w:highlight w:val="none"/>
              </w:rPr>
            </w:pPr>
            <w:r>
              <w:rPr>
                <w:rFonts w:ascii="Times New Roman" w:hAnsi="Times New Roman" w:cs="Times New Roman"/>
                <w:highlight w:val="none"/>
              </w:rPr>
              <w:t>不允许</w:t>
            </w:r>
          </w:p>
        </w:tc>
      </w:tr>
      <w:tr w14:paraId="35586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63" w:type="dxa"/>
            <w:vAlign w:val="center"/>
          </w:tcPr>
          <w:p w14:paraId="79DFD3F4">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26</w:t>
            </w:r>
          </w:p>
        </w:tc>
        <w:tc>
          <w:tcPr>
            <w:tcW w:w="1962" w:type="dxa"/>
            <w:vAlign w:val="center"/>
          </w:tcPr>
          <w:p w14:paraId="3D4242B9">
            <w:pPr>
              <w:spacing w:line="360" w:lineRule="auto"/>
              <w:jc w:val="center"/>
              <w:rPr>
                <w:rFonts w:ascii="Times New Roman" w:hAnsi="Times New Roman" w:cs="Times New Roman"/>
                <w:color w:val="000000"/>
                <w:szCs w:val="21"/>
                <w:highlight w:val="none"/>
              </w:rPr>
            </w:pPr>
            <w:r>
              <w:rPr>
                <w:rFonts w:ascii="Times New Roman" w:hAnsi="Times New Roman" w:cs="Times New Roman"/>
                <w:b/>
                <w:color w:val="000000"/>
                <w:szCs w:val="21"/>
                <w:highlight w:val="none"/>
              </w:rPr>
              <w:t>★</w:t>
            </w:r>
            <w:r>
              <w:rPr>
                <w:rFonts w:hint="eastAsia" w:ascii="Times New Roman" w:hAnsi="Times New Roman" w:cs="Times New Roman"/>
                <w:b/>
                <w:color w:val="000000"/>
                <w:szCs w:val="21"/>
                <w:highlight w:val="none"/>
              </w:rPr>
              <w:t>比选申请文件</w:t>
            </w:r>
            <w:r>
              <w:rPr>
                <w:rFonts w:ascii="Times New Roman" w:hAnsi="Times New Roman" w:cs="Times New Roman"/>
                <w:b/>
                <w:color w:val="000000"/>
                <w:szCs w:val="21"/>
                <w:highlight w:val="none"/>
              </w:rPr>
              <w:t>的真实性要求</w:t>
            </w:r>
          </w:p>
        </w:tc>
        <w:tc>
          <w:tcPr>
            <w:tcW w:w="6895" w:type="dxa"/>
            <w:vAlign w:val="center"/>
          </w:tcPr>
          <w:p w14:paraId="4D5B3B62">
            <w:pPr>
              <w:spacing w:line="360" w:lineRule="auto"/>
              <w:ind w:left="16" w:leftChars="8"/>
              <w:rPr>
                <w:rFonts w:ascii="Times New Roman" w:hAnsi="Times New Roman" w:cs="Times New Roman"/>
                <w:color w:val="000000"/>
                <w:szCs w:val="21"/>
                <w:highlight w:val="none"/>
              </w:rPr>
            </w:pPr>
            <w:r>
              <w:rPr>
                <w:rFonts w:ascii="Times New Roman" w:hAnsi="Times New Roman" w:cs="Times New Roman"/>
                <w:color w:val="000000"/>
                <w:szCs w:val="21"/>
                <w:highlight w:val="none"/>
              </w:rPr>
              <w:t>（1）</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所递交的</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（包括有关资料、澄清）应不存在</w:t>
            </w:r>
            <w:r>
              <w:rPr>
                <w:rFonts w:ascii="Times New Roman" w:hAnsi="Times New Roman" w:cs="Times New Roman"/>
                <w:szCs w:val="21"/>
                <w:highlight w:val="none"/>
              </w:rPr>
              <w:t>弄虚作假或隐瞒</w:t>
            </w:r>
            <w:r>
              <w:rPr>
                <w:rFonts w:ascii="Times New Roman" w:hAnsi="Times New Roman" w:cs="Times New Roman"/>
                <w:color w:val="000000"/>
                <w:szCs w:val="21"/>
                <w:highlight w:val="none"/>
              </w:rPr>
              <w:t>。</w:t>
            </w:r>
          </w:p>
          <w:p w14:paraId="7377D064">
            <w:pPr>
              <w:spacing w:line="360" w:lineRule="auto"/>
              <w:ind w:left="16" w:leftChars="8"/>
              <w:rPr>
                <w:rFonts w:ascii="Times New Roman" w:hAnsi="Times New Roman" w:cs="Times New Roman"/>
                <w:szCs w:val="21"/>
                <w:highlight w:val="none"/>
              </w:rPr>
            </w:pPr>
            <w:r>
              <w:rPr>
                <w:rFonts w:ascii="Times New Roman" w:hAnsi="Times New Roman" w:cs="Times New Roman"/>
                <w:color w:val="000000"/>
                <w:szCs w:val="21"/>
                <w:highlight w:val="none"/>
              </w:rPr>
              <w:t>（2）</w:t>
            </w:r>
            <w:r>
              <w:rPr>
                <w:rFonts w:hint="eastAsia" w:ascii="Times New Roman" w:hAnsi="Times New Roman" w:cs="Times New Roman"/>
                <w:szCs w:val="21"/>
                <w:highlight w:val="none"/>
              </w:rPr>
              <w:t>比选申请人</w:t>
            </w:r>
            <w:r>
              <w:rPr>
                <w:rFonts w:ascii="Times New Roman" w:hAnsi="Times New Roman" w:cs="Times New Roman"/>
                <w:szCs w:val="21"/>
                <w:highlight w:val="none"/>
              </w:rPr>
              <w:t>声明不存在</w:t>
            </w:r>
            <w:r>
              <w:rPr>
                <w:rFonts w:hint="eastAsia" w:ascii="Times New Roman" w:hAnsi="Times New Roman" w:cs="Times New Roman"/>
                <w:szCs w:val="21"/>
                <w:highlight w:val="none"/>
                <w:lang w:eastAsia="zh-CN"/>
              </w:rPr>
              <w:t>限制参选的情形</w:t>
            </w:r>
            <w:r>
              <w:rPr>
                <w:rFonts w:ascii="Times New Roman" w:hAnsi="Times New Roman" w:cs="Times New Roman"/>
                <w:szCs w:val="21"/>
                <w:highlight w:val="none"/>
              </w:rPr>
              <w:t>但被发现存在</w:t>
            </w:r>
            <w:r>
              <w:rPr>
                <w:rFonts w:hint="eastAsia" w:ascii="Times New Roman" w:hAnsi="Times New Roman" w:cs="Times New Roman"/>
                <w:szCs w:val="21"/>
                <w:highlight w:val="none"/>
                <w:lang w:eastAsia="zh-CN"/>
              </w:rPr>
              <w:t>限制参选的情形</w:t>
            </w:r>
            <w:r>
              <w:rPr>
                <w:rFonts w:ascii="Times New Roman" w:hAnsi="Times New Roman" w:cs="Times New Roman"/>
                <w:szCs w:val="21"/>
                <w:highlight w:val="none"/>
              </w:rPr>
              <w:t>的，属于隐瞒情形。</w:t>
            </w:r>
          </w:p>
          <w:p w14:paraId="4E501719">
            <w:pPr>
              <w:spacing w:line="360" w:lineRule="auto"/>
              <w:ind w:left="16" w:leftChars="8"/>
              <w:rPr>
                <w:rFonts w:ascii="Times New Roman" w:hAnsi="Times New Roman" w:cs="Times New Roman"/>
                <w:color w:val="000000"/>
                <w:szCs w:val="21"/>
                <w:highlight w:val="none"/>
              </w:rPr>
            </w:pPr>
            <w:r>
              <w:rPr>
                <w:rFonts w:ascii="Times New Roman" w:hAnsi="Times New Roman" w:cs="Times New Roman"/>
                <w:color w:val="000000"/>
                <w:szCs w:val="21"/>
                <w:highlight w:val="none"/>
              </w:rPr>
              <w:t>（3）</w:t>
            </w:r>
            <w:r>
              <w:rPr>
                <w:rFonts w:ascii="Times New Roman" w:hAnsi="Times New Roman" w:cs="Times New Roman"/>
                <w:szCs w:val="21"/>
                <w:highlight w:val="none"/>
              </w:rPr>
              <w:t>如</w:t>
            </w:r>
            <w:r>
              <w:rPr>
                <w:rFonts w:hint="eastAsia" w:ascii="Times New Roman" w:hAnsi="Times New Roman" w:cs="Times New Roman"/>
                <w:szCs w:val="21"/>
                <w:highlight w:val="none"/>
              </w:rPr>
              <w:t>比选申请文件</w:t>
            </w:r>
            <w:r>
              <w:rPr>
                <w:rFonts w:ascii="Times New Roman" w:hAnsi="Times New Roman" w:cs="Times New Roman"/>
                <w:szCs w:val="21"/>
                <w:highlight w:val="none"/>
              </w:rPr>
              <w:t>存在弄虚作假或隐瞒，在评审阶段发现的，</w:t>
            </w:r>
            <w:r>
              <w:rPr>
                <w:rFonts w:hint="eastAsia" w:ascii="Times New Roman" w:hAnsi="Times New Roman" w:cs="Times New Roman"/>
                <w:szCs w:val="21"/>
                <w:highlight w:val="none"/>
                <w:lang w:eastAsia="zh-CN"/>
              </w:rPr>
              <w:t>评审</w:t>
            </w:r>
            <w:r>
              <w:rPr>
                <w:rFonts w:ascii="Times New Roman" w:hAnsi="Times New Roman" w:cs="Times New Roman"/>
                <w:szCs w:val="21"/>
                <w:highlight w:val="none"/>
              </w:rPr>
              <w:t>委员会应将该</w:t>
            </w:r>
            <w:r>
              <w:rPr>
                <w:rFonts w:hint="eastAsia" w:ascii="Times New Roman" w:hAnsi="Times New Roman" w:cs="Times New Roman"/>
                <w:szCs w:val="21"/>
                <w:highlight w:val="none"/>
              </w:rPr>
              <w:t>比选申请文件</w:t>
            </w:r>
            <w:r>
              <w:rPr>
                <w:rFonts w:ascii="Times New Roman" w:hAnsi="Times New Roman" w:cs="Times New Roman"/>
                <w:szCs w:val="21"/>
                <w:highlight w:val="none"/>
              </w:rPr>
              <w:t>作</w:t>
            </w:r>
            <w:r>
              <w:rPr>
                <w:rFonts w:hint="eastAsia" w:ascii="Times New Roman" w:hAnsi="Times New Roman" w:cs="Times New Roman"/>
                <w:szCs w:val="21"/>
                <w:highlight w:val="none"/>
              </w:rPr>
              <w:t>废标</w:t>
            </w:r>
            <w:r>
              <w:rPr>
                <w:rFonts w:ascii="Times New Roman" w:hAnsi="Times New Roman" w:cs="Times New Roman"/>
                <w:szCs w:val="21"/>
                <w:highlight w:val="none"/>
              </w:rPr>
              <w:t>处理；</w:t>
            </w:r>
            <w:r>
              <w:rPr>
                <w:rFonts w:hint="eastAsia" w:ascii="Times New Roman" w:hAnsi="Times New Roman" w:cs="Times New Roman"/>
                <w:szCs w:val="21"/>
                <w:highlight w:val="none"/>
              </w:rPr>
              <w:t>中选</w:t>
            </w:r>
            <w:r>
              <w:rPr>
                <w:rFonts w:ascii="Times New Roman" w:hAnsi="Times New Roman" w:cs="Times New Roman"/>
                <w:szCs w:val="21"/>
                <w:highlight w:val="none"/>
              </w:rPr>
              <w:t>候选人确定后发现的，</w:t>
            </w:r>
            <w:r>
              <w:rPr>
                <w:rFonts w:hint="eastAsia" w:ascii="Times New Roman" w:hAnsi="Times New Roman" w:cs="Times New Roman"/>
                <w:szCs w:val="21"/>
                <w:highlight w:val="none"/>
              </w:rPr>
              <w:t>比选人</w:t>
            </w:r>
            <w:r>
              <w:rPr>
                <w:rFonts w:ascii="Times New Roman" w:hAnsi="Times New Roman" w:cs="Times New Roman"/>
                <w:szCs w:val="21"/>
                <w:highlight w:val="none"/>
              </w:rPr>
              <w:t>可以取消</w:t>
            </w:r>
            <w:r>
              <w:rPr>
                <w:rFonts w:hint="eastAsia" w:ascii="Times New Roman" w:hAnsi="Times New Roman" w:cs="Times New Roman"/>
                <w:szCs w:val="21"/>
                <w:highlight w:val="none"/>
              </w:rPr>
              <w:t>中选</w:t>
            </w:r>
            <w:r>
              <w:rPr>
                <w:rFonts w:ascii="Times New Roman" w:hAnsi="Times New Roman" w:cs="Times New Roman"/>
                <w:szCs w:val="21"/>
                <w:highlight w:val="none"/>
              </w:rPr>
              <w:t>候选人或</w:t>
            </w:r>
            <w:r>
              <w:rPr>
                <w:rFonts w:hint="eastAsia" w:ascii="Times New Roman" w:hAnsi="Times New Roman" w:cs="Times New Roman"/>
                <w:szCs w:val="21"/>
                <w:highlight w:val="none"/>
              </w:rPr>
              <w:t>中选</w:t>
            </w:r>
            <w:r>
              <w:rPr>
                <w:rFonts w:ascii="Times New Roman" w:hAnsi="Times New Roman" w:cs="Times New Roman"/>
                <w:szCs w:val="21"/>
                <w:highlight w:val="none"/>
              </w:rPr>
              <w:t>人资格。</w:t>
            </w:r>
          </w:p>
        </w:tc>
      </w:tr>
      <w:tr w14:paraId="57EA2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63" w:type="dxa"/>
            <w:vAlign w:val="center"/>
          </w:tcPr>
          <w:p w14:paraId="3C003DD3">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27</w:t>
            </w:r>
          </w:p>
        </w:tc>
        <w:tc>
          <w:tcPr>
            <w:tcW w:w="1962" w:type="dxa"/>
            <w:vAlign w:val="center"/>
          </w:tcPr>
          <w:p w14:paraId="79C59191">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格式</w:t>
            </w:r>
          </w:p>
        </w:tc>
        <w:tc>
          <w:tcPr>
            <w:tcW w:w="6895" w:type="dxa"/>
            <w:vAlign w:val="center"/>
          </w:tcPr>
          <w:p w14:paraId="0DB4FA63">
            <w:pPr>
              <w:spacing w:line="360" w:lineRule="auto"/>
              <w:ind w:left="16" w:leftChars="8"/>
              <w:rPr>
                <w:rFonts w:ascii="Times New Roman" w:hAnsi="Times New Roman" w:cs="Times New Roman"/>
                <w:color w:val="000000"/>
                <w:szCs w:val="21"/>
                <w:highlight w:val="none"/>
              </w:rPr>
            </w:pPr>
            <w:r>
              <w:rPr>
                <w:rFonts w:ascii="Times New Roman" w:hAnsi="Times New Roman" w:cs="Times New Roman"/>
                <w:color w:val="000000"/>
                <w:szCs w:val="21"/>
                <w:highlight w:val="none"/>
              </w:rPr>
              <w:t>（1）</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不得对</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文件格式中的实质性内容进行删减或修改。（注解除外）</w:t>
            </w:r>
          </w:p>
          <w:p w14:paraId="0C917C8D">
            <w:pPr>
              <w:spacing w:line="360" w:lineRule="auto"/>
              <w:ind w:left="16" w:leftChars="8"/>
              <w:rPr>
                <w:rFonts w:ascii="Times New Roman" w:hAnsi="Times New Roman" w:cs="Times New Roman"/>
                <w:color w:val="000000"/>
                <w:szCs w:val="21"/>
                <w:highlight w:val="none"/>
              </w:rPr>
            </w:pP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可以在格式内容之后另行说明和增加相关的内容。另行说明或自行增加的内容、以及按</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格式在空格（下划线）由</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填写的内容，不得与</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文件的强制性审查标准和禁止性规定相抵触。</w:t>
            </w:r>
          </w:p>
          <w:p w14:paraId="6C47A74B">
            <w:pPr>
              <w:spacing w:line="360" w:lineRule="auto"/>
              <w:ind w:left="16" w:leftChars="8"/>
              <w:rPr>
                <w:rFonts w:ascii="Times New Roman" w:hAnsi="Times New Roman" w:cs="Times New Roman"/>
                <w:color w:val="000000"/>
                <w:szCs w:val="21"/>
                <w:highlight w:val="none"/>
              </w:rPr>
            </w:pPr>
            <w:r>
              <w:rPr>
                <w:rFonts w:ascii="Times New Roman" w:hAnsi="Times New Roman" w:cs="Times New Roman"/>
                <w:color w:val="000000"/>
                <w:szCs w:val="21"/>
                <w:highlight w:val="none"/>
              </w:rPr>
              <w:t>（3）</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应对</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文件提出的所有实质性要求和条件作出实质性响应，并且实质性响应的内容不得互相矛盾。</w:t>
            </w:r>
          </w:p>
          <w:p w14:paraId="32563F48">
            <w:pPr>
              <w:spacing w:line="360" w:lineRule="auto"/>
              <w:ind w:left="16" w:leftChars="8"/>
              <w:rPr>
                <w:rFonts w:ascii="Times New Roman" w:hAnsi="Times New Roman" w:cs="Times New Roman"/>
                <w:color w:val="000000"/>
                <w:szCs w:val="21"/>
                <w:highlight w:val="none"/>
              </w:rPr>
            </w:pPr>
            <w:r>
              <w:rPr>
                <w:rFonts w:ascii="Times New Roman" w:hAnsi="Times New Roman" w:cs="Times New Roman"/>
                <w:color w:val="000000"/>
                <w:szCs w:val="21"/>
                <w:highlight w:val="none"/>
              </w:rPr>
              <w:t>（4）</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应内容完整，字迹清晰可辨。字迹模糊导致无法确认关键技术方案、关键工期、关键工程质量保证措施、</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价格的，其</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无效。</w:t>
            </w:r>
          </w:p>
          <w:p w14:paraId="6D824A8B">
            <w:pPr>
              <w:spacing w:line="360" w:lineRule="auto"/>
              <w:ind w:left="16" w:leftChars="8"/>
              <w:rPr>
                <w:rFonts w:ascii="Times New Roman" w:hAnsi="Times New Roman" w:cs="Times New Roman"/>
                <w:color w:val="000000"/>
                <w:szCs w:val="21"/>
                <w:highlight w:val="none"/>
              </w:rPr>
            </w:pPr>
            <w:r>
              <w:rPr>
                <w:rFonts w:ascii="Times New Roman" w:hAnsi="Times New Roman" w:cs="Times New Roman"/>
                <w:color w:val="000000"/>
                <w:szCs w:val="21"/>
                <w:highlight w:val="none"/>
              </w:rPr>
              <w:t>（5）</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所附证明材料应内容完整并清晰可辨。所附证明材料内容不完整或字迹模糊的，</w:t>
            </w:r>
            <w:r>
              <w:rPr>
                <w:rFonts w:hint="eastAsia" w:ascii="Times New Roman" w:hAnsi="Times New Roman" w:cs="Times New Roman"/>
                <w:color w:val="000000"/>
                <w:szCs w:val="21"/>
                <w:highlight w:val="none"/>
                <w:lang w:eastAsia="zh-CN"/>
              </w:rPr>
              <w:t>评审</w:t>
            </w:r>
            <w:r>
              <w:rPr>
                <w:rFonts w:ascii="Times New Roman" w:hAnsi="Times New Roman" w:cs="Times New Roman"/>
                <w:color w:val="000000"/>
                <w:szCs w:val="21"/>
                <w:highlight w:val="none"/>
              </w:rPr>
              <w:t>委</w:t>
            </w:r>
            <w:r>
              <w:rPr>
                <w:rFonts w:ascii="Times New Roman" w:hAnsi="Times New Roman" w:eastAsia="宋体" w:cs="Times New Roman"/>
                <w:color w:val="000000"/>
                <w:szCs w:val="21"/>
                <w:highlight w:val="none"/>
              </w:rPr>
              <w:t>员会可要求</w:t>
            </w:r>
            <w:r>
              <w:rPr>
                <w:rFonts w:hint="default" w:ascii="Times New Roman" w:hAnsi="Times New Roman" w:eastAsia="宋体" w:cs="Times New Roman"/>
                <w:color w:val="000000"/>
                <w:szCs w:val="21"/>
                <w:highlight w:val="none"/>
              </w:rPr>
              <w:t>比选申请人</w:t>
            </w:r>
            <w:r>
              <w:rPr>
                <w:rFonts w:ascii="Times New Roman" w:hAnsi="Times New Roman" w:eastAsia="宋体" w:cs="Times New Roman"/>
                <w:color w:val="000000"/>
                <w:szCs w:val="21"/>
                <w:highlight w:val="none"/>
              </w:rPr>
              <w:t>提供原件核验。</w:t>
            </w:r>
          </w:p>
        </w:tc>
      </w:tr>
      <w:tr w14:paraId="4D76B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3" w:type="dxa"/>
            <w:vAlign w:val="center"/>
          </w:tcPr>
          <w:p w14:paraId="0E07EF6C">
            <w:pPr>
              <w:spacing w:line="360" w:lineRule="auto"/>
              <w:jc w:val="both"/>
              <w:rPr>
                <w:rFonts w:ascii="Times New Roman" w:hAnsi="Times New Roman" w:cs="Times New Roman"/>
                <w:color w:val="000000"/>
                <w:szCs w:val="21"/>
                <w:highlight w:val="none"/>
              </w:rPr>
            </w:pPr>
          </w:p>
          <w:p w14:paraId="7E7E415E">
            <w:pPr>
              <w:spacing w:line="360" w:lineRule="auto"/>
              <w:jc w:val="center"/>
              <w:rPr>
                <w:rFonts w:ascii="Times New Roman" w:hAnsi="Times New Roman" w:cs="Times New Roman"/>
                <w:color w:val="000000"/>
                <w:szCs w:val="21"/>
                <w:highlight w:val="none"/>
              </w:rPr>
            </w:pPr>
          </w:p>
          <w:p w14:paraId="5F2FC14D">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28</w:t>
            </w:r>
          </w:p>
        </w:tc>
        <w:tc>
          <w:tcPr>
            <w:tcW w:w="1962" w:type="dxa"/>
            <w:vAlign w:val="center"/>
          </w:tcPr>
          <w:p w14:paraId="3408175F">
            <w:pPr>
              <w:spacing w:line="360" w:lineRule="auto"/>
              <w:jc w:val="both"/>
              <w:rPr>
                <w:rFonts w:ascii="Times New Roman" w:hAnsi="Times New Roman" w:cs="Times New Roman"/>
                <w:color w:val="000000"/>
                <w:szCs w:val="21"/>
                <w:highlight w:val="none"/>
              </w:rPr>
            </w:pPr>
          </w:p>
          <w:p w14:paraId="4BA9BF3B">
            <w:pPr>
              <w:spacing w:line="360" w:lineRule="auto"/>
              <w:jc w:val="center"/>
              <w:rPr>
                <w:rFonts w:ascii="Times New Roman" w:hAnsi="Times New Roman" w:cs="Times New Roman"/>
                <w:color w:val="000000"/>
                <w:szCs w:val="21"/>
                <w:highlight w:val="none"/>
              </w:rPr>
            </w:pPr>
          </w:p>
          <w:p w14:paraId="64F3FDAE">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★签字、盖章要求</w:t>
            </w:r>
          </w:p>
        </w:tc>
        <w:tc>
          <w:tcPr>
            <w:tcW w:w="6895" w:type="dxa"/>
            <w:vAlign w:val="center"/>
          </w:tcPr>
          <w:p w14:paraId="18A419CE">
            <w:pPr>
              <w:spacing w:line="360" w:lineRule="auto"/>
              <w:ind w:left="16" w:leftChars="8"/>
              <w:rPr>
                <w:rFonts w:ascii="Times New Roman" w:hAnsi="Times New Roman" w:cs="Times New Roman"/>
                <w:color w:val="000000"/>
                <w:szCs w:val="21"/>
                <w:highlight w:val="none"/>
              </w:rPr>
            </w:pPr>
            <w:r>
              <w:rPr>
                <w:rFonts w:ascii="Times New Roman" w:hAnsi="Times New Roman" w:cs="Times New Roman"/>
                <w:color w:val="000000"/>
                <w:szCs w:val="21"/>
                <w:highlight w:val="none"/>
              </w:rPr>
              <w:t>（1）</w:t>
            </w:r>
            <w:r>
              <w:rPr>
                <w:rFonts w:ascii="Times New Roman" w:hAnsi="Times New Roman" w:cs="Times New Roman"/>
                <w:b/>
                <w:bCs/>
                <w:color w:val="000000"/>
                <w:szCs w:val="21"/>
                <w:highlight w:val="none"/>
              </w:rPr>
              <w:t>所有要求签字的地方都应用不褪色的墨水或签字笔由本人亲笔手写签字（包括姓和名），不得由他人代签</w:t>
            </w:r>
            <w:r>
              <w:rPr>
                <w:rFonts w:hint="eastAsia" w:ascii="Times New Roman" w:hAnsi="Times New Roman" w:cs="Times New Roman"/>
                <w:b/>
                <w:bCs/>
                <w:color w:val="000000"/>
                <w:szCs w:val="21"/>
                <w:highlight w:val="none"/>
              </w:rPr>
              <w:t>，不得</w:t>
            </w:r>
            <w:r>
              <w:rPr>
                <w:rFonts w:hint="default" w:ascii="Times New Roman" w:hAnsi="Times New Roman" w:eastAsia="宋体" w:cs="Times New Roman"/>
                <w:b/>
                <w:bCs/>
                <w:color w:val="000000"/>
                <w:sz w:val="21"/>
                <w:szCs w:val="21"/>
                <w:highlight w:val="none"/>
              </w:rPr>
              <w:t>使用盖章（如签名章、签字章等）代替</w:t>
            </w:r>
            <w:r>
              <w:rPr>
                <w:rFonts w:ascii="Times New Roman" w:hAnsi="Times New Roman" w:cs="Times New Roman"/>
                <w:b/>
                <w:bCs/>
                <w:color w:val="000000"/>
                <w:szCs w:val="21"/>
                <w:highlight w:val="none"/>
              </w:rPr>
              <w:t>。</w:t>
            </w:r>
          </w:p>
          <w:p w14:paraId="6AC9DF6F">
            <w:pPr>
              <w:spacing w:line="360" w:lineRule="auto"/>
              <w:ind w:left="16" w:leftChars="8"/>
              <w:rPr>
                <w:rFonts w:ascii="Times New Roman" w:hAnsi="Times New Roman" w:cs="Times New Roman"/>
                <w:color w:val="000000"/>
                <w:szCs w:val="21"/>
                <w:highlight w:val="none"/>
              </w:rPr>
            </w:pPr>
            <w:r>
              <w:rPr>
                <w:rFonts w:ascii="Times New Roman" w:hAnsi="Times New Roman" w:cs="Times New Roman"/>
                <w:color w:val="000000"/>
                <w:szCs w:val="21"/>
                <w:highlight w:val="none"/>
              </w:rPr>
              <w:t>（2）</w:t>
            </w:r>
            <w:r>
              <w:rPr>
                <w:rFonts w:ascii="Times New Roman" w:hAnsi="Times New Roman" w:cs="Times New Roman"/>
                <w:b/>
                <w:bCs/>
                <w:color w:val="000000"/>
                <w:szCs w:val="21"/>
                <w:highlight w:val="none"/>
              </w:rPr>
              <w:t>所有要求盖章的地方都应加盖</w:t>
            </w:r>
            <w:r>
              <w:rPr>
                <w:rFonts w:hint="eastAsia" w:ascii="Times New Roman" w:hAnsi="Times New Roman" w:cs="Times New Roman"/>
                <w:b/>
                <w:bCs/>
                <w:color w:val="000000"/>
                <w:szCs w:val="21"/>
                <w:highlight w:val="none"/>
              </w:rPr>
              <w:t>比选申请人</w:t>
            </w:r>
            <w:r>
              <w:rPr>
                <w:rFonts w:ascii="Times New Roman" w:hAnsi="Times New Roman" w:cs="Times New Roman"/>
                <w:b/>
                <w:bCs/>
                <w:color w:val="000000"/>
                <w:szCs w:val="21"/>
                <w:highlight w:val="none"/>
              </w:rPr>
              <w:t>单位（法定名称）章，不得使用专用印章（如经济合同章、</w:t>
            </w:r>
            <w:r>
              <w:rPr>
                <w:rFonts w:hint="eastAsia" w:ascii="Times New Roman" w:hAnsi="Times New Roman" w:cs="Times New Roman"/>
                <w:b/>
                <w:bCs/>
                <w:color w:val="000000"/>
                <w:szCs w:val="21"/>
                <w:highlight w:val="none"/>
              </w:rPr>
              <w:t>投标</w:t>
            </w:r>
            <w:r>
              <w:rPr>
                <w:rFonts w:ascii="Times New Roman" w:hAnsi="Times New Roman" w:cs="Times New Roman"/>
                <w:b/>
                <w:bCs/>
                <w:color w:val="000000"/>
                <w:szCs w:val="21"/>
                <w:highlight w:val="none"/>
              </w:rPr>
              <w:t>专用章等）或下属单位印章代替，否则视为无效申请文件。</w:t>
            </w:r>
          </w:p>
          <w:p w14:paraId="053B88F5">
            <w:pPr>
              <w:spacing w:line="360" w:lineRule="auto"/>
              <w:ind w:left="16" w:leftChars="8"/>
              <w:rPr>
                <w:rFonts w:ascii="Times New Roman" w:hAnsi="Times New Roman" w:cs="Times New Roman"/>
                <w:color w:val="000000"/>
                <w:szCs w:val="21"/>
                <w:highlight w:val="none"/>
              </w:rPr>
            </w:pPr>
            <w:r>
              <w:rPr>
                <w:rFonts w:ascii="Times New Roman" w:hAnsi="Times New Roman" w:cs="Times New Roman"/>
                <w:color w:val="000000"/>
                <w:szCs w:val="21"/>
                <w:highlight w:val="none"/>
              </w:rPr>
              <w:t>（3）</w:t>
            </w:r>
            <w:r>
              <w:rPr>
                <w:rFonts w:ascii="Times New Roman" w:hAnsi="Times New Roman" w:cs="Times New Roman"/>
                <w:szCs w:val="21"/>
                <w:highlight w:val="none"/>
              </w:rPr>
              <w:t>“</w:t>
            </w:r>
            <w:r>
              <w:rPr>
                <w:rFonts w:hint="eastAsia" w:ascii="Times New Roman" w:hAnsi="Times New Roman" w:cs="Times New Roman"/>
                <w:szCs w:val="21"/>
                <w:highlight w:val="none"/>
              </w:rPr>
              <w:t>比选申请文件</w:t>
            </w:r>
            <w:r>
              <w:rPr>
                <w:rFonts w:ascii="Times New Roman" w:hAnsi="Times New Roman" w:cs="Times New Roman"/>
                <w:szCs w:val="21"/>
                <w:highlight w:val="none"/>
              </w:rPr>
              <w:t>格式”</w:t>
            </w:r>
            <w:r>
              <w:rPr>
                <w:rFonts w:ascii="Times New Roman" w:hAnsi="Times New Roman" w:cs="Times New Roman"/>
                <w:color w:val="000000"/>
                <w:szCs w:val="21"/>
                <w:highlight w:val="none"/>
              </w:rPr>
              <w:t>中要求</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“法定代表人或其委托代理人”签字的，如法定代表人亲自申请</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而不委托代理人申请，由法定代表人签字；</w:t>
            </w:r>
            <w:r>
              <w:rPr>
                <w:rFonts w:hint="eastAsia" w:ascii="Times New Roman" w:hAnsi="Times New Roman" w:cs="Times New Roman"/>
                <w:color w:val="000000"/>
                <w:szCs w:val="21"/>
                <w:highlight w:val="none"/>
                <w:lang w:val="en-US" w:eastAsia="zh-CN"/>
              </w:rPr>
              <w:t>如</w:t>
            </w:r>
            <w:r>
              <w:rPr>
                <w:rFonts w:ascii="Times New Roman" w:hAnsi="Times New Roman" w:cs="Times New Roman"/>
                <w:color w:val="000000"/>
                <w:szCs w:val="21"/>
                <w:highlight w:val="none"/>
              </w:rPr>
              <w:t>法定代表人授权委托代理人申请，由委托代理人签字，也可由法定代表人签字。</w:t>
            </w:r>
          </w:p>
          <w:p w14:paraId="79E0823F">
            <w:pPr>
              <w:spacing w:line="360" w:lineRule="auto"/>
              <w:ind w:left="16" w:leftChars="8"/>
              <w:rPr>
                <w:rFonts w:ascii="Times New Roman" w:hAnsi="Times New Roman" w:eastAsia="宋体" w:cs="Times New Roman"/>
                <w:color w:val="000000"/>
                <w:szCs w:val="21"/>
                <w:highlight w:val="none"/>
                <w:u w:val="none"/>
              </w:rPr>
            </w:pPr>
            <w:r>
              <w:rPr>
                <w:rFonts w:ascii="Times New Roman" w:hAnsi="Times New Roman" w:cs="Times New Roman"/>
                <w:color w:val="000000"/>
                <w:szCs w:val="21"/>
                <w:highlight w:val="none"/>
              </w:rPr>
              <w:t>（4）</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若有修改，修改处应由</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法定代表人或其委托代理人签字或加盖单位章</w:t>
            </w:r>
            <w:r>
              <w:rPr>
                <w:rFonts w:hint="eastAsia" w:ascii="宋体" w:hAnsi="宋体" w:eastAsia="宋体" w:cs="宋体"/>
                <w:color w:val="auto"/>
                <w:sz w:val="21"/>
                <w:szCs w:val="21"/>
                <w:highlight w:val="none"/>
              </w:rPr>
              <w:t>（鲜章）</w:t>
            </w:r>
            <w:r>
              <w:rPr>
                <w:rFonts w:ascii="Times New Roman" w:hAnsi="Times New Roman" w:cs="Times New Roman"/>
                <w:color w:val="000000"/>
                <w:szCs w:val="21"/>
                <w:highlight w:val="none"/>
              </w:rPr>
              <w:t>。</w:t>
            </w:r>
          </w:p>
        </w:tc>
      </w:tr>
      <w:tr w14:paraId="31D19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3" w:type="dxa"/>
            <w:vAlign w:val="center"/>
          </w:tcPr>
          <w:p w14:paraId="643C9BEC">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29</w:t>
            </w:r>
          </w:p>
        </w:tc>
        <w:tc>
          <w:tcPr>
            <w:tcW w:w="1962" w:type="dxa"/>
            <w:vAlign w:val="center"/>
          </w:tcPr>
          <w:p w14:paraId="44D80867">
            <w:pPr>
              <w:spacing w:line="360" w:lineRule="auto"/>
              <w:ind w:left="16" w:leftChars="8"/>
              <w:jc w:val="center"/>
              <w:rPr>
                <w:rFonts w:ascii="Times New Roman" w:hAnsi="Times New Roman" w:eastAsia="宋体" w:cs="Times New Roman"/>
                <w:color w:val="000000"/>
                <w:kern w:val="2"/>
                <w:sz w:val="21"/>
                <w:szCs w:val="21"/>
                <w:highlight w:val="none"/>
                <w:lang w:val="en-US" w:eastAsia="zh-CN" w:bidi="ar-SA"/>
              </w:rPr>
            </w:pPr>
            <w:r>
              <w:rPr>
                <w:rFonts w:ascii="Times New Roman" w:hAnsi="Times New Roman" w:cs="Times New Roman"/>
                <w:color w:val="000000"/>
                <w:szCs w:val="21"/>
                <w:highlight w:val="none"/>
              </w:rPr>
              <w:t>★正、副本</w:t>
            </w:r>
          </w:p>
        </w:tc>
        <w:tc>
          <w:tcPr>
            <w:tcW w:w="6895" w:type="dxa"/>
            <w:vAlign w:val="center"/>
          </w:tcPr>
          <w:p w14:paraId="59A21052">
            <w:pPr>
              <w:spacing w:line="360" w:lineRule="auto"/>
              <w:jc w:val="left"/>
              <w:rPr>
                <w:rFonts w:ascii="Times New Roman" w:hAnsi="Times New Roman" w:eastAsia="宋体" w:cs="Times New Roman"/>
                <w:color w:val="000000"/>
                <w:kern w:val="2"/>
                <w:sz w:val="21"/>
                <w:szCs w:val="21"/>
                <w:highlight w:val="none"/>
                <w:lang w:val="en-US" w:eastAsia="zh-CN" w:bidi="ar-SA"/>
              </w:rPr>
            </w:pPr>
            <w:r>
              <w:rPr>
                <w:rFonts w:ascii="Times New Roman" w:hAnsi="Times New Roman" w:cs="Times New Roman"/>
                <w:color w:val="000000"/>
                <w:szCs w:val="21"/>
                <w:highlight w:val="none"/>
              </w:rPr>
              <w:t>正本</w:t>
            </w:r>
            <w:r>
              <w:rPr>
                <w:rFonts w:ascii="Times New Roman" w:hAnsi="Times New Roman" w:cs="Times New Roman"/>
                <w:color w:val="000000"/>
                <w:szCs w:val="21"/>
                <w:highlight w:val="none"/>
                <w:u w:val="single"/>
              </w:rPr>
              <w:t>1</w:t>
            </w:r>
            <w:r>
              <w:rPr>
                <w:rFonts w:ascii="Times New Roman" w:hAnsi="Times New Roman" w:cs="Times New Roman"/>
                <w:color w:val="000000"/>
                <w:szCs w:val="21"/>
                <w:highlight w:val="none"/>
              </w:rPr>
              <w:t>份，副本</w:t>
            </w:r>
            <w:r>
              <w:rPr>
                <w:rFonts w:ascii="Times New Roman" w:hAnsi="Times New Roman" w:cs="Times New Roman"/>
                <w:color w:val="000000"/>
                <w:szCs w:val="21"/>
                <w:highlight w:val="none"/>
                <w:u w:val="single"/>
              </w:rPr>
              <w:t>1</w:t>
            </w:r>
            <w:r>
              <w:rPr>
                <w:rFonts w:ascii="Times New Roman" w:hAnsi="Times New Roman" w:cs="Times New Roman"/>
                <w:color w:val="000000"/>
                <w:szCs w:val="21"/>
                <w:highlight w:val="none"/>
              </w:rPr>
              <w:t>份。</w:t>
            </w:r>
            <w:r>
              <w:rPr>
                <w:rFonts w:hint="eastAsia" w:ascii="Times New Roman" w:hAnsi="Times New Roman" w:cs="Times New Roman"/>
                <w:color w:val="000000"/>
                <w:szCs w:val="21"/>
                <w:highlight w:val="none"/>
                <w:lang w:val="en-US" w:eastAsia="zh-CN"/>
              </w:rPr>
              <w:t>副本以电子档U盘形式递交，内容为：比选申请文件正本的电子档扫描件，当正副本内容不一致的以纸质版正本为准，但副本和正本内容不一致造成的评审差错由比选申请人自行承担。</w:t>
            </w:r>
          </w:p>
        </w:tc>
      </w:tr>
      <w:tr w14:paraId="5B607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3" w:type="dxa"/>
            <w:vAlign w:val="center"/>
          </w:tcPr>
          <w:p w14:paraId="379160DB">
            <w:pPr>
              <w:spacing w:line="360" w:lineRule="auto"/>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3</w:t>
            </w:r>
            <w:r>
              <w:rPr>
                <w:rFonts w:hint="eastAsia" w:ascii="Times New Roman" w:hAnsi="Times New Roman" w:cs="Times New Roman"/>
                <w:color w:val="000000"/>
                <w:szCs w:val="21"/>
                <w:highlight w:val="none"/>
                <w:lang w:val="en-US" w:eastAsia="zh-CN"/>
              </w:rPr>
              <w:t>0</w:t>
            </w:r>
          </w:p>
        </w:tc>
        <w:tc>
          <w:tcPr>
            <w:tcW w:w="1962" w:type="dxa"/>
            <w:vAlign w:val="center"/>
          </w:tcPr>
          <w:p w14:paraId="333FC2D1">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装订</w:t>
            </w:r>
          </w:p>
        </w:tc>
        <w:tc>
          <w:tcPr>
            <w:tcW w:w="6895" w:type="dxa"/>
            <w:vAlign w:val="center"/>
          </w:tcPr>
          <w:p w14:paraId="073C1FE7">
            <w:pPr>
              <w:spacing w:line="360" w:lineRule="auto"/>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t>（1）比选申请文件的正本用A4复印纸（图、表及证件可以除外）编制或复制。</w:t>
            </w:r>
          </w:p>
          <w:p w14:paraId="4B27D08F">
            <w:pPr>
              <w:spacing w:line="360" w:lineRule="auto"/>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t>（2）比选申请文件的正本应采用粘贴方式左侧装订，不得采用活页夹等可随时拆换的方式装订，不得有零散页。</w:t>
            </w:r>
          </w:p>
          <w:p w14:paraId="1CD421AC">
            <w:pPr>
              <w:spacing w:line="360" w:lineRule="auto"/>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t>（3）比选申请文件应严格按照</w:t>
            </w:r>
            <w:r>
              <w:rPr>
                <w:rFonts w:hint="eastAsia" w:ascii="Times New Roman" w:hAnsi="Times New Roman" w:cs="Times New Roman"/>
                <w:color w:val="000000"/>
                <w:szCs w:val="21"/>
                <w:highlight w:val="none"/>
                <w:lang w:eastAsia="zh-CN"/>
              </w:rPr>
              <w:t>第六章</w:t>
            </w:r>
            <w:r>
              <w:rPr>
                <w:rFonts w:ascii="Times New Roman" w:hAnsi="Times New Roman" w:cs="Times New Roman"/>
                <w:color w:val="000000"/>
                <w:szCs w:val="21"/>
                <w:highlight w:val="none"/>
              </w:rPr>
              <w:t>“比选申请文件格式”中的目录次序装订；若同一册的内容较多，可装订成若干分册，并在封面标明次序及册数。</w:t>
            </w:r>
          </w:p>
          <w:p w14:paraId="08C45F24">
            <w:pPr>
              <w:spacing w:line="360" w:lineRule="auto"/>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t>（4）比选申请文件中的证明、证件及附件等的复制件应集中紧附在相应正文内容后面，并尽量与前面正文部分的顺序相对应。</w:t>
            </w:r>
          </w:p>
          <w:p w14:paraId="6735683C">
            <w:pPr>
              <w:spacing w:line="360" w:lineRule="auto"/>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t>（5）修改的比选申请文件的装订也应按本要求办理。</w:t>
            </w:r>
          </w:p>
        </w:tc>
      </w:tr>
      <w:tr w14:paraId="6FD9A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jc w:val="center"/>
        </w:trPr>
        <w:tc>
          <w:tcPr>
            <w:tcW w:w="863" w:type="dxa"/>
            <w:vAlign w:val="center"/>
          </w:tcPr>
          <w:p w14:paraId="7CAF0948">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3</w:t>
            </w:r>
            <w:r>
              <w:rPr>
                <w:rFonts w:hint="eastAsia" w:ascii="Times New Roman" w:hAnsi="Times New Roman" w:cs="Times New Roman"/>
                <w:color w:val="000000"/>
                <w:szCs w:val="21"/>
                <w:highlight w:val="none"/>
                <w:lang w:val="en-US" w:eastAsia="zh-CN"/>
              </w:rPr>
              <w:t>1</w:t>
            </w:r>
          </w:p>
        </w:tc>
        <w:tc>
          <w:tcPr>
            <w:tcW w:w="1962" w:type="dxa"/>
            <w:vAlign w:val="center"/>
          </w:tcPr>
          <w:p w14:paraId="0820A21B">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包装和密封</w:t>
            </w:r>
          </w:p>
        </w:tc>
        <w:tc>
          <w:tcPr>
            <w:tcW w:w="6895" w:type="dxa"/>
            <w:vAlign w:val="center"/>
          </w:tcPr>
          <w:p w14:paraId="5D6C7050">
            <w:pPr>
              <w:spacing w:line="360" w:lineRule="auto"/>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t>（1）比选申请文件的正本和副本应分开包装，正本一个包装，副本一个包装。</w:t>
            </w:r>
          </w:p>
          <w:p w14:paraId="6130AF6A">
            <w:pPr>
              <w:spacing w:line="360" w:lineRule="auto"/>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t>（2）每一个包装都应在其封套的封口处加贴封条，在封套的封口处加盖比选申请人单位章。</w:t>
            </w:r>
          </w:p>
          <w:p w14:paraId="45444DC0">
            <w:pPr>
              <w:spacing w:line="360" w:lineRule="auto"/>
              <w:ind w:left="0" w:leftChars="0"/>
              <w:jc w:val="left"/>
              <w:rPr>
                <w:rFonts w:ascii="Times New Roman" w:hAnsi="Times New Roman" w:eastAsia="宋体" w:cs="Times New Roman"/>
                <w:kern w:val="0"/>
                <w:szCs w:val="21"/>
                <w:highlight w:val="none"/>
              </w:rPr>
            </w:pPr>
            <w:r>
              <w:rPr>
                <w:rFonts w:ascii="Times New Roman" w:hAnsi="Times New Roman" w:cs="Times New Roman"/>
                <w:color w:val="000000"/>
                <w:szCs w:val="21"/>
                <w:highlight w:val="none"/>
              </w:rPr>
              <w:t>（3）每一个包装的封套上应清楚地标记“正本”或“副本”字样。</w:t>
            </w:r>
          </w:p>
        </w:tc>
      </w:tr>
      <w:tr w14:paraId="19BD2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863" w:type="dxa"/>
            <w:vAlign w:val="center"/>
          </w:tcPr>
          <w:p w14:paraId="173DE1A8">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3</w:t>
            </w:r>
            <w:r>
              <w:rPr>
                <w:rFonts w:hint="eastAsia" w:ascii="Times New Roman" w:hAnsi="Times New Roman" w:cs="Times New Roman"/>
                <w:color w:val="000000"/>
                <w:szCs w:val="21"/>
                <w:highlight w:val="none"/>
                <w:lang w:val="en-US" w:eastAsia="zh-CN"/>
              </w:rPr>
              <w:t>2</w:t>
            </w:r>
          </w:p>
        </w:tc>
        <w:tc>
          <w:tcPr>
            <w:tcW w:w="1962" w:type="dxa"/>
            <w:vAlign w:val="center"/>
          </w:tcPr>
          <w:p w14:paraId="0625C763">
            <w:pPr>
              <w:spacing w:line="360" w:lineRule="auto"/>
              <w:jc w:val="center"/>
              <w:rPr>
                <w:rFonts w:ascii="Times New Roman" w:hAnsi="Times New Roman" w:cs="Times New Roman"/>
                <w:bCs/>
                <w:color w:val="000000"/>
                <w:szCs w:val="21"/>
                <w:highlight w:val="none"/>
              </w:rPr>
            </w:pPr>
            <w:r>
              <w:rPr>
                <w:rFonts w:ascii="Times New Roman" w:hAnsi="Times New Roman" w:cs="Times New Roman"/>
                <w:color w:val="000000"/>
                <w:szCs w:val="21"/>
                <w:highlight w:val="none"/>
              </w:rPr>
              <w:t>封套上写明</w:t>
            </w:r>
          </w:p>
        </w:tc>
        <w:tc>
          <w:tcPr>
            <w:tcW w:w="6895" w:type="dxa"/>
            <w:vAlign w:val="center"/>
          </w:tcPr>
          <w:p w14:paraId="1AB481FB">
            <w:pPr>
              <w:spacing w:line="360" w:lineRule="auto"/>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t>比选人名称：四川蜀道新能源科技发展有限公司</w:t>
            </w:r>
          </w:p>
          <w:p w14:paraId="1B6628D9">
            <w:pPr>
              <w:spacing w:line="360" w:lineRule="auto"/>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t>比选申请人的地址：</w:t>
            </w:r>
          </w:p>
          <w:p w14:paraId="6E005532">
            <w:pPr>
              <w:spacing w:line="360" w:lineRule="auto"/>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t>比选申请人的全称：</w:t>
            </w:r>
          </w:p>
          <w:p w14:paraId="737B1555">
            <w:pPr>
              <w:spacing w:line="360" w:lineRule="auto"/>
              <w:ind w:left="16" w:leftChars="8"/>
              <w:jc w:val="left"/>
              <w:rPr>
                <w:rFonts w:ascii="Times New Roman" w:hAnsi="Times New Roman" w:cs="Times New Roman"/>
                <w:bCs/>
                <w:color w:val="000000"/>
                <w:kern w:val="0"/>
                <w:szCs w:val="21"/>
                <w:highlight w:val="none"/>
              </w:rPr>
            </w:pPr>
            <w:r>
              <w:rPr>
                <w:rFonts w:ascii="Times New Roman" w:hAnsi="Times New Roman" w:cs="Times New Roman"/>
                <w:color w:val="000000"/>
                <w:szCs w:val="21"/>
                <w:highlight w:val="none"/>
                <w:u w:val="single"/>
              </w:rPr>
              <w:t>（项目名称）</w:t>
            </w:r>
            <w:r>
              <w:rPr>
                <w:rFonts w:ascii="Times New Roman" w:hAnsi="Times New Roman" w:cs="Times New Roman"/>
                <w:color w:val="000000"/>
                <w:szCs w:val="21"/>
                <w:highlight w:val="none"/>
              </w:rPr>
              <w:t>比选申请文件在</w:t>
            </w:r>
            <w:r>
              <w:rPr>
                <w:rFonts w:hint="eastAsia" w:ascii="Times New Roman" w:hAnsi="Times New Roman" w:cs="Times New Roman"/>
                <w:color w:val="000000"/>
                <w:szCs w:val="21"/>
                <w:highlight w:val="none"/>
                <w:lang w:eastAsia="zh-CN"/>
              </w:rPr>
              <w:t>202</w:t>
            </w:r>
            <w:r>
              <w:rPr>
                <w:rFonts w:hint="eastAsia" w:ascii="Times New Roman" w:hAnsi="Times New Roman" w:cs="Times New Roman"/>
                <w:color w:val="000000"/>
                <w:szCs w:val="21"/>
                <w:highlight w:val="none"/>
                <w:lang w:val="en-US" w:eastAsia="zh-CN"/>
              </w:rPr>
              <w:t>6</w:t>
            </w:r>
            <w:r>
              <w:rPr>
                <w:rFonts w:ascii="Times New Roman" w:hAnsi="Times New Roman" w:cs="Times New Roman"/>
                <w:color w:val="000000"/>
                <w:szCs w:val="21"/>
                <w:highlight w:val="none"/>
              </w:rPr>
              <w:t>年</w:t>
            </w:r>
            <w:r>
              <w:rPr>
                <w:rFonts w:hint="eastAsia" w:ascii="Times New Roman" w:hAnsi="Times New Roman" w:cs="Times New Roman"/>
                <w:color w:val="000000"/>
                <w:szCs w:val="21"/>
                <w:highlight w:val="none"/>
                <w:lang w:val="en-US" w:eastAsia="zh-CN"/>
              </w:rPr>
              <w:t>9</w:t>
            </w:r>
            <w:r>
              <w:rPr>
                <w:rFonts w:ascii="Times New Roman" w:hAnsi="Times New Roman" w:cs="Times New Roman"/>
                <w:color w:val="000000"/>
                <w:szCs w:val="21"/>
                <w:highlight w:val="none"/>
              </w:rPr>
              <w:t>月</w:t>
            </w:r>
            <w:r>
              <w:rPr>
                <w:rFonts w:hint="eastAsia" w:ascii="Times New Roman" w:hAnsi="Times New Roman" w:cs="Times New Roman"/>
                <w:color w:val="000000"/>
                <w:szCs w:val="21"/>
                <w:highlight w:val="none"/>
                <w:lang w:val="en-US" w:eastAsia="zh-CN"/>
              </w:rPr>
              <w:t>23</w:t>
            </w:r>
            <w:r>
              <w:rPr>
                <w:rFonts w:ascii="Times New Roman" w:hAnsi="Times New Roman" w:cs="Times New Roman"/>
                <w:color w:val="000000"/>
                <w:szCs w:val="21"/>
                <w:highlight w:val="none"/>
              </w:rPr>
              <w:t>日</w:t>
            </w:r>
            <w:r>
              <w:rPr>
                <w:rFonts w:hint="eastAsia" w:ascii="Times New Roman" w:hAnsi="Times New Roman" w:cs="Times New Roman"/>
                <w:color w:val="000000"/>
                <w:szCs w:val="21"/>
                <w:highlight w:val="none"/>
                <w:lang w:val="en-US" w:eastAsia="zh-CN"/>
              </w:rPr>
              <w:t>9</w:t>
            </w:r>
            <w:r>
              <w:rPr>
                <w:rFonts w:ascii="Times New Roman" w:hAnsi="Times New Roman" w:cs="Times New Roman"/>
                <w:color w:val="000000"/>
                <w:szCs w:val="21"/>
                <w:highlight w:val="none"/>
              </w:rPr>
              <w:t>时</w:t>
            </w:r>
            <w:r>
              <w:rPr>
                <w:rFonts w:hint="eastAsia" w:ascii="Times New Roman" w:hAnsi="Times New Roman" w:cs="Times New Roman"/>
                <w:color w:val="000000"/>
                <w:szCs w:val="21"/>
                <w:highlight w:val="none"/>
                <w:lang w:val="en-US" w:eastAsia="zh-CN"/>
              </w:rPr>
              <w:t>30</w:t>
            </w:r>
            <w:r>
              <w:rPr>
                <w:rFonts w:ascii="Times New Roman" w:hAnsi="Times New Roman" w:cs="Times New Roman"/>
                <w:color w:val="000000"/>
                <w:szCs w:val="21"/>
                <w:highlight w:val="none"/>
              </w:rPr>
              <w:t>分前不得开启</w:t>
            </w:r>
            <w:r>
              <w:rPr>
                <w:rFonts w:hint="default" w:ascii="Times New Roman" w:hAnsi="Times New Roman" w:eastAsia="宋体" w:cs="Times New Roman"/>
                <w:kern w:val="0"/>
                <w:sz w:val="21"/>
                <w:szCs w:val="21"/>
                <w:highlight w:val="none"/>
              </w:rPr>
              <w:t>。</w:t>
            </w:r>
          </w:p>
        </w:tc>
      </w:tr>
      <w:tr w14:paraId="75023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863" w:type="dxa"/>
            <w:vAlign w:val="center"/>
          </w:tcPr>
          <w:p w14:paraId="1CCF4EEA">
            <w:pPr>
              <w:spacing w:line="360" w:lineRule="auto"/>
              <w:jc w:val="center"/>
              <w:rPr>
                <w:rFonts w:hint="default" w:ascii="Times New Roman" w:hAnsi="Times New Roman" w:eastAsia="宋体" w:cs="Times New Roman"/>
                <w:color w:val="000000"/>
                <w:szCs w:val="21"/>
                <w:highlight w:val="none"/>
                <w:lang w:val="en-US" w:eastAsia="zh-CN"/>
              </w:rPr>
            </w:pPr>
            <w:r>
              <w:rPr>
                <w:rFonts w:hint="eastAsia" w:ascii="Times New Roman" w:hAnsi="Times New Roman" w:cs="Times New Roman"/>
                <w:color w:val="000000"/>
                <w:szCs w:val="21"/>
                <w:highlight w:val="none"/>
                <w:lang w:val="en-US" w:eastAsia="zh-CN"/>
              </w:rPr>
              <w:t>33</w:t>
            </w:r>
          </w:p>
        </w:tc>
        <w:tc>
          <w:tcPr>
            <w:tcW w:w="1962" w:type="dxa"/>
            <w:vAlign w:val="center"/>
          </w:tcPr>
          <w:p w14:paraId="34DD4E40">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比选申请文件</w:t>
            </w:r>
          </w:p>
          <w:p w14:paraId="77BF52CE">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递交地点</w:t>
            </w:r>
          </w:p>
        </w:tc>
        <w:tc>
          <w:tcPr>
            <w:tcW w:w="6895" w:type="dxa"/>
            <w:vAlign w:val="center"/>
          </w:tcPr>
          <w:p w14:paraId="55908637">
            <w:pPr>
              <w:spacing w:line="360" w:lineRule="auto"/>
              <w:ind w:left="16" w:leftChars="8"/>
              <w:jc w:val="left"/>
              <w:rPr>
                <w:rFonts w:hint="eastAsia" w:ascii="Times New Roman" w:hAnsi="Times New Roman" w:eastAsia="宋体" w:cs="Times New Roman"/>
                <w:kern w:val="0"/>
                <w:sz w:val="21"/>
                <w:szCs w:val="21"/>
                <w:highlight w:val="none"/>
                <w:lang w:eastAsia="zh-CN"/>
              </w:rPr>
            </w:pPr>
            <w:r>
              <w:rPr>
                <w:rFonts w:hint="eastAsia" w:ascii="Times New Roman" w:hAnsi="Times New Roman" w:cs="Times New Roman"/>
                <w:color w:val="000000"/>
                <w:szCs w:val="21"/>
                <w:highlight w:val="none"/>
                <w:lang w:eastAsia="zh-CN"/>
              </w:rPr>
              <w:t>成都市高新区创业路1号剑恒发展中心商业楼2楼会议室（洽谈室二）</w:t>
            </w:r>
          </w:p>
        </w:tc>
      </w:tr>
      <w:tr w14:paraId="5609B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863" w:type="dxa"/>
            <w:vAlign w:val="center"/>
          </w:tcPr>
          <w:p w14:paraId="1376DCA4">
            <w:pPr>
              <w:spacing w:line="360" w:lineRule="auto"/>
              <w:jc w:val="center"/>
              <w:rPr>
                <w:rFonts w:hint="default" w:ascii="Times New Roman" w:hAnsi="Times New Roman" w:eastAsia="宋体" w:cs="Times New Roman"/>
                <w:color w:val="000000"/>
                <w:szCs w:val="21"/>
                <w:highlight w:val="none"/>
                <w:lang w:val="en-US" w:eastAsia="zh-CN"/>
              </w:rPr>
            </w:pPr>
            <w:r>
              <w:rPr>
                <w:rFonts w:hint="eastAsia" w:ascii="Times New Roman" w:hAnsi="Times New Roman" w:cs="Times New Roman"/>
                <w:color w:val="000000"/>
                <w:szCs w:val="21"/>
                <w:highlight w:val="none"/>
                <w:lang w:val="en-US" w:eastAsia="zh-CN"/>
              </w:rPr>
              <w:t>34</w:t>
            </w:r>
          </w:p>
        </w:tc>
        <w:tc>
          <w:tcPr>
            <w:tcW w:w="1962" w:type="dxa"/>
            <w:vAlign w:val="center"/>
          </w:tcPr>
          <w:p w14:paraId="1EEE4B3E">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是否退还比选</w:t>
            </w:r>
          </w:p>
          <w:p w14:paraId="555E0C6F">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申请文件</w:t>
            </w:r>
          </w:p>
        </w:tc>
        <w:tc>
          <w:tcPr>
            <w:tcW w:w="6895" w:type="dxa"/>
            <w:vAlign w:val="center"/>
          </w:tcPr>
          <w:p w14:paraId="3211FEEB">
            <w:pPr>
              <w:spacing w:line="360" w:lineRule="auto"/>
              <w:ind w:left="16" w:leftChars="8"/>
              <w:jc w:val="left"/>
              <w:rPr>
                <w:rFonts w:hint="eastAsia" w:ascii="Times New Roman" w:hAnsi="Times New Roman" w:eastAsia="宋体" w:cs="Times New Roman"/>
                <w:kern w:val="0"/>
                <w:sz w:val="21"/>
                <w:szCs w:val="21"/>
                <w:highlight w:val="none"/>
                <w:lang w:val="en-US" w:eastAsia="zh-CN"/>
              </w:rPr>
            </w:pPr>
            <w:r>
              <w:rPr>
                <w:rFonts w:hint="eastAsia" w:ascii="Times New Roman" w:hAnsi="Times New Roman" w:cs="Times New Roman"/>
                <w:kern w:val="0"/>
                <w:sz w:val="21"/>
                <w:szCs w:val="21"/>
                <w:highlight w:val="none"/>
                <w:lang w:val="en-US" w:eastAsia="zh-CN"/>
              </w:rPr>
              <w:t>否</w:t>
            </w:r>
          </w:p>
        </w:tc>
      </w:tr>
      <w:tr w14:paraId="2BCF5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863" w:type="dxa"/>
            <w:vMerge w:val="restart"/>
            <w:vAlign w:val="center"/>
          </w:tcPr>
          <w:p w14:paraId="02545BFF">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3</w:t>
            </w:r>
            <w:r>
              <w:rPr>
                <w:rFonts w:hint="eastAsia" w:ascii="Times New Roman" w:hAnsi="Times New Roman" w:cs="Times New Roman"/>
                <w:color w:val="000000"/>
                <w:szCs w:val="21"/>
                <w:highlight w:val="none"/>
              </w:rPr>
              <w:t>5</w:t>
            </w:r>
          </w:p>
          <w:p w14:paraId="0DF3ADF2">
            <w:pPr>
              <w:spacing w:line="360" w:lineRule="auto"/>
              <w:jc w:val="center"/>
              <w:rPr>
                <w:rFonts w:ascii="Times New Roman" w:hAnsi="Times New Roman" w:cs="Times New Roman"/>
                <w:color w:val="000000"/>
                <w:szCs w:val="21"/>
                <w:highlight w:val="none"/>
              </w:rPr>
            </w:pPr>
          </w:p>
        </w:tc>
        <w:tc>
          <w:tcPr>
            <w:tcW w:w="1962" w:type="dxa"/>
            <w:vMerge w:val="restart"/>
            <w:vAlign w:val="center"/>
          </w:tcPr>
          <w:p w14:paraId="4695BC65">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开标时间和地点</w:t>
            </w:r>
          </w:p>
          <w:p w14:paraId="02C3AB21">
            <w:pPr>
              <w:spacing w:line="360" w:lineRule="auto"/>
              <w:jc w:val="center"/>
              <w:rPr>
                <w:rFonts w:ascii="Times New Roman" w:hAnsi="Times New Roman" w:cs="Times New Roman"/>
                <w:color w:val="000000"/>
                <w:szCs w:val="21"/>
                <w:highlight w:val="none"/>
              </w:rPr>
            </w:pPr>
          </w:p>
        </w:tc>
        <w:tc>
          <w:tcPr>
            <w:tcW w:w="6895" w:type="dxa"/>
            <w:vAlign w:val="center"/>
          </w:tcPr>
          <w:p w14:paraId="059A6647">
            <w:pPr>
              <w:spacing w:line="360" w:lineRule="auto"/>
              <w:jc w:val="left"/>
              <w:rPr>
                <w:rFonts w:ascii="Times New Roman" w:hAnsi="Times New Roman" w:eastAsia="宋体" w:cs="Times New Roman"/>
                <w:color w:val="000000"/>
                <w:kern w:val="2"/>
                <w:sz w:val="21"/>
                <w:szCs w:val="21"/>
                <w:highlight w:val="none"/>
                <w:lang w:val="en-US" w:eastAsia="zh-CN" w:bidi="ar-SA"/>
              </w:rPr>
            </w:pPr>
            <w:r>
              <w:rPr>
                <w:rFonts w:ascii="Times New Roman" w:hAnsi="Times New Roman" w:cs="Times New Roman"/>
                <w:color w:val="000000"/>
                <w:szCs w:val="21"/>
                <w:highlight w:val="none"/>
              </w:rPr>
              <w:t>开标时间：同比选申请文件递交截止时间；</w:t>
            </w:r>
          </w:p>
        </w:tc>
      </w:tr>
      <w:tr w14:paraId="0267C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863" w:type="dxa"/>
            <w:vMerge w:val="continue"/>
            <w:vAlign w:val="center"/>
          </w:tcPr>
          <w:p w14:paraId="56A9DF12">
            <w:pPr>
              <w:spacing w:line="360" w:lineRule="auto"/>
              <w:jc w:val="center"/>
              <w:rPr>
                <w:rFonts w:ascii="Times New Roman" w:hAnsi="Times New Roman" w:cs="Times New Roman"/>
                <w:color w:val="000000"/>
                <w:szCs w:val="21"/>
                <w:highlight w:val="none"/>
              </w:rPr>
            </w:pPr>
          </w:p>
        </w:tc>
        <w:tc>
          <w:tcPr>
            <w:tcW w:w="1962" w:type="dxa"/>
            <w:vMerge w:val="continue"/>
            <w:vAlign w:val="center"/>
          </w:tcPr>
          <w:p w14:paraId="1BF27B82">
            <w:pPr>
              <w:spacing w:line="360" w:lineRule="auto"/>
              <w:jc w:val="center"/>
              <w:rPr>
                <w:rFonts w:ascii="Times New Roman" w:hAnsi="Times New Roman" w:cs="Times New Roman"/>
                <w:color w:val="000000"/>
                <w:szCs w:val="21"/>
                <w:highlight w:val="none"/>
              </w:rPr>
            </w:pPr>
          </w:p>
        </w:tc>
        <w:tc>
          <w:tcPr>
            <w:tcW w:w="6895" w:type="dxa"/>
            <w:vAlign w:val="center"/>
          </w:tcPr>
          <w:p w14:paraId="7F985B77">
            <w:pPr>
              <w:spacing w:line="360" w:lineRule="auto"/>
              <w:jc w:val="left"/>
              <w:rPr>
                <w:rFonts w:ascii="Times New Roman" w:hAnsi="Times New Roman" w:eastAsia="宋体" w:cs="Times New Roman"/>
                <w:color w:val="000000"/>
                <w:kern w:val="2"/>
                <w:sz w:val="21"/>
                <w:szCs w:val="21"/>
                <w:highlight w:val="none"/>
                <w:lang w:val="en-US" w:eastAsia="zh-CN" w:bidi="ar-SA"/>
              </w:rPr>
            </w:pPr>
            <w:r>
              <w:rPr>
                <w:rFonts w:ascii="Times New Roman" w:hAnsi="Times New Roman" w:cs="Times New Roman"/>
                <w:color w:val="000000"/>
                <w:szCs w:val="21"/>
                <w:highlight w:val="none"/>
              </w:rPr>
              <w:t>开标地点：</w:t>
            </w:r>
            <w:r>
              <w:rPr>
                <w:rFonts w:hint="eastAsia" w:ascii="Times New Roman" w:hAnsi="Times New Roman" w:cs="Times New Roman"/>
                <w:color w:val="000000"/>
                <w:szCs w:val="21"/>
                <w:highlight w:val="none"/>
                <w:lang w:eastAsia="zh-CN"/>
              </w:rPr>
              <w:t>成都市高新区创业路1号剑恒发展中心商业楼2楼会议室（洽谈室二）</w:t>
            </w:r>
            <w:r>
              <w:rPr>
                <w:rFonts w:ascii="Times New Roman" w:hAnsi="Times New Roman" w:cs="Times New Roman"/>
                <w:color w:val="000000"/>
                <w:szCs w:val="21"/>
                <w:highlight w:val="none"/>
              </w:rPr>
              <w:t>。</w:t>
            </w:r>
          </w:p>
        </w:tc>
      </w:tr>
      <w:tr w14:paraId="32464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63" w:type="dxa"/>
            <w:vAlign w:val="center"/>
          </w:tcPr>
          <w:p w14:paraId="2924ED92">
            <w:pPr>
              <w:spacing w:line="360" w:lineRule="auto"/>
              <w:jc w:val="center"/>
              <w:rPr>
                <w:rFonts w:hint="default" w:ascii="Times New Roman" w:hAnsi="Times New Roman" w:eastAsia="宋体" w:cs="Times New Roman"/>
                <w:color w:val="000000"/>
                <w:szCs w:val="21"/>
                <w:highlight w:val="none"/>
                <w:lang w:val="en-US" w:eastAsia="zh-CN"/>
              </w:rPr>
            </w:pPr>
            <w:r>
              <w:rPr>
                <w:rFonts w:hint="eastAsia" w:ascii="Times New Roman" w:hAnsi="Times New Roman" w:cs="Times New Roman"/>
                <w:color w:val="000000"/>
                <w:szCs w:val="21"/>
                <w:highlight w:val="none"/>
                <w:lang w:val="en-US" w:eastAsia="zh-CN"/>
              </w:rPr>
              <w:t>36</w:t>
            </w:r>
          </w:p>
        </w:tc>
        <w:tc>
          <w:tcPr>
            <w:tcW w:w="1962" w:type="dxa"/>
            <w:vAlign w:val="center"/>
          </w:tcPr>
          <w:p w14:paraId="12738A12">
            <w:pPr>
              <w:spacing w:line="360" w:lineRule="auto"/>
              <w:jc w:val="center"/>
              <w:rPr>
                <w:rFonts w:ascii="Times New Roman" w:hAnsi="Times New Roman" w:cs="Times New Roman"/>
                <w:color w:val="000000"/>
                <w:szCs w:val="21"/>
                <w:highlight w:val="none"/>
              </w:rPr>
            </w:pPr>
            <w:r>
              <w:rPr>
                <w:rFonts w:hint="eastAsia" w:ascii="Times New Roman" w:hAnsi="Times New Roman" w:cs="Times New Roman"/>
                <w:bCs/>
                <w:color w:val="000000"/>
                <w:szCs w:val="21"/>
                <w:highlight w:val="none"/>
              </w:rPr>
              <w:t>开标</w:t>
            </w:r>
            <w:r>
              <w:rPr>
                <w:rFonts w:ascii="Times New Roman" w:hAnsi="Times New Roman" w:cs="Times New Roman"/>
                <w:bCs/>
                <w:color w:val="000000"/>
                <w:szCs w:val="21"/>
                <w:highlight w:val="none"/>
              </w:rPr>
              <w:t>程序</w:t>
            </w:r>
          </w:p>
        </w:tc>
        <w:tc>
          <w:tcPr>
            <w:tcW w:w="6895" w:type="dxa"/>
            <w:vAlign w:val="center"/>
          </w:tcPr>
          <w:p w14:paraId="067C9838">
            <w:pPr>
              <w:pStyle w:val="8"/>
              <w:spacing w:after="0" w:line="360" w:lineRule="auto"/>
              <w:ind w:right="149" w:rightChars="71"/>
              <w:rPr>
                <w:color w:val="000000"/>
                <w:szCs w:val="21"/>
                <w:highlight w:val="none"/>
              </w:rPr>
            </w:pPr>
            <w:r>
              <w:rPr>
                <w:rFonts w:hint="eastAsia" w:ascii="Times New Roman" w:hAnsi="Times New Roman" w:cs="Times New Roman"/>
                <w:kern w:val="0"/>
                <w:szCs w:val="21"/>
                <w:highlight w:val="none"/>
              </w:rPr>
              <w:t>开标</w:t>
            </w:r>
            <w:r>
              <w:rPr>
                <w:rFonts w:ascii="Times New Roman" w:hAnsi="Times New Roman" w:cs="Times New Roman"/>
                <w:kern w:val="0"/>
                <w:szCs w:val="21"/>
                <w:highlight w:val="none"/>
              </w:rPr>
              <w:t>顺序：不分递交先后顺序随机开启</w:t>
            </w:r>
          </w:p>
        </w:tc>
      </w:tr>
      <w:tr w14:paraId="1F4BB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63" w:type="dxa"/>
            <w:vAlign w:val="center"/>
          </w:tcPr>
          <w:p w14:paraId="77E605B2">
            <w:pPr>
              <w:spacing w:line="360" w:lineRule="auto"/>
              <w:jc w:val="center"/>
              <w:rPr>
                <w:rFonts w:hint="default" w:ascii="Times New Roman" w:hAnsi="Times New Roman" w:eastAsia="宋体" w:cs="Times New Roman"/>
                <w:color w:val="000000"/>
                <w:szCs w:val="21"/>
                <w:highlight w:val="none"/>
                <w:lang w:val="en-US" w:eastAsia="zh-CN"/>
              </w:rPr>
            </w:pPr>
            <w:r>
              <w:rPr>
                <w:rFonts w:hint="eastAsia" w:ascii="Times New Roman" w:hAnsi="Times New Roman" w:cs="Times New Roman"/>
                <w:color w:val="000000"/>
                <w:szCs w:val="21"/>
                <w:highlight w:val="none"/>
                <w:lang w:val="en-US" w:eastAsia="zh-CN"/>
              </w:rPr>
              <w:t>37</w:t>
            </w:r>
          </w:p>
        </w:tc>
        <w:tc>
          <w:tcPr>
            <w:tcW w:w="1962" w:type="dxa"/>
            <w:vAlign w:val="center"/>
          </w:tcPr>
          <w:p w14:paraId="19D6EF41">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委员会的组建</w:t>
            </w:r>
          </w:p>
        </w:tc>
        <w:tc>
          <w:tcPr>
            <w:tcW w:w="6895" w:type="dxa"/>
            <w:vAlign w:val="center"/>
          </w:tcPr>
          <w:p w14:paraId="75D86E15">
            <w:pPr>
              <w:spacing w:line="360" w:lineRule="auto"/>
              <w:rPr>
                <w:rFonts w:ascii="Times New Roman" w:hAnsi="Times New Roman" w:cs="Times New Roman"/>
                <w:color w:val="000000"/>
                <w:szCs w:val="21"/>
                <w:highlight w:val="none"/>
                <w:u w:val="single"/>
              </w:rPr>
            </w:pPr>
            <w:r>
              <w:rPr>
                <w:rFonts w:hint="eastAsia" w:ascii="宋体" w:hAnsi="Times New Roman" w:eastAsia="宋体" w:cs="Times New Roman"/>
                <w:kern w:val="0"/>
                <w:sz w:val="21"/>
                <w:szCs w:val="21"/>
                <w:highlight w:val="none"/>
                <w:lang w:eastAsia="zh-CN"/>
              </w:rPr>
              <w:t>由</w:t>
            </w:r>
            <w:r>
              <w:rPr>
                <w:rFonts w:hint="eastAsia" w:ascii="宋体" w:hAnsi="Times New Roman" w:eastAsia="宋体" w:cs="Times New Roman"/>
                <w:kern w:val="0"/>
                <w:sz w:val="21"/>
                <w:szCs w:val="21"/>
                <w:highlight w:val="none"/>
                <w:lang w:val="en-US" w:eastAsia="zh-CN"/>
              </w:rPr>
              <w:t>比选</w:t>
            </w:r>
            <w:r>
              <w:rPr>
                <w:rFonts w:hint="eastAsia" w:ascii="宋体" w:hAnsi="Times New Roman" w:eastAsia="宋体" w:cs="Times New Roman"/>
                <w:kern w:val="0"/>
                <w:sz w:val="21"/>
                <w:szCs w:val="21"/>
                <w:highlight w:val="none"/>
                <w:lang w:eastAsia="zh-CN"/>
              </w:rPr>
              <w:t>人按相关规定组建</w:t>
            </w:r>
            <w:r>
              <w:rPr>
                <w:rFonts w:hint="eastAsia" w:ascii="宋体" w:hAnsi="Times New Roman" w:eastAsia="宋体" w:cs="Times New Roman"/>
                <w:kern w:val="0"/>
                <w:sz w:val="21"/>
                <w:szCs w:val="21"/>
                <w:highlight w:val="none"/>
              </w:rPr>
              <w:t>。</w:t>
            </w:r>
          </w:p>
        </w:tc>
      </w:tr>
      <w:tr w14:paraId="5D8D8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63" w:type="dxa"/>
            <w:vAlign w:val="center"/>
          </w:tcPr>
          <w:p w14:paraId="0F4779C5">
            <w:pPr>
              <w:spacing w:line="360" w:lineRule="auto"/>
              <w:jc w:val="center"/>
              <w:rPr>
                <w:rFonts w:ascii="Times New Roman" w:hAnsi="Times New Roman" w:eastAsia="宋体" w:cs="Times New Roman"/>
                <w:color w:val="000000"/>
                <w:kern w:val="2"/>
                <w:sz w:val="21"/>
                <w:szCs w:val="21"/>
                <w:highlight w:val="none"/>
                <w:lang w:val="en-US" w:eastAsia="zh-CN" w:bidi="ar-SA"/>
              </w:rPr>
            </w:pPr>
            <w:r>
              <w:rPr>
                <w:rFonts w:ascii="Times New Roman" w:hAnsi="Times New Roman" w:cs="Times New Roman"/>
                <w:color w:val="000000"/>
                <w:szCs w:val="21"/>
                <w:highlight w:val="none"/>
              </w:rPr>
              <w:t>3</w:t>
            </w:r>
            <w:r>
              <w:rPr>
                <w:rFonts w:hint="eastAsia" w:ascii="Times New Roman" w:hAnsi="Times New Roman" w:cs="Times New Roman"/>
                <w:color w:val="000000"/>
                <w:szCs w:val="21"/>
                <w:highlight w:val="none"/>
              </w:rPr>
              <w:t>8</w:t>
            </w:r>
          </w:p>
        </w:tc>
        <w:tc>
          <w:tcPr>
            <w:tcW w:w="1962" w:type="dxa"/>
            <w:vAlign w:val="center"/>
          </w:tcPr>
          <w:p w14:paraId="1F06FA14">
            <w:pPr>
              <w:spacing w:line="360" w:lineRule="auto"/>
              <w:jc w:val="center"/>
              <w:rPr>
                <w:rFonts w:ascii="Times New Roman" w:hAnsi="Times New Roman" w:eastAsia="宋体" w:cs="Times New Roman"/>
                <w:color w:val="000000"/>
                <w:kern w:val="2"/>
                <w:sz w:val="21"/>
                <w:szCs w:val="21"/>
                <w:highlight w:val="none"/>
                <w:lang w:val="en-US" w:eastAsia="zh-CN" w:bidi="ar-SA"/>
              </w:rPr>
            </w:pPr>
            <w:r>
              <w:rPr>
                <w:rFonts w:ascii="Times New Roman" w:hAnsi="Times New Roman" w:cs="Times New Roman"/>
                <w:color w:val="000000"/>
                <w:szCs w:val="21"/>
                <w:highlight w:val="none"/>
              </w:rPr>
              <w:t>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办法</w:t>
            </w:r>
          </w:p>
        </w:tc>
        <w:tc>
          <w:tcPr>
            <w:tcW w:w="6895" w:type="dxa"/>
            <w:vAlign w:val="center"/>
          </w:tcPr>
          <w:p w14:paraId="586BF66B">
            <w:pPr>
              <w:pStyle w:val="8"/>
              <w:spacing w:after="0" w:line="360" w:lineRule="auto"/>
              <w:ind w:right="149" w:rightChars="71"/>
              <w:rPr>
                <w:rFonts w:ascii="Times New Roman" w:hAnsi="Times New Roman" w:eastAsia="宋体" w:cs="Times New Roman"/>
                <w:color w:val="000000"/>
                <w:kern w:val="2"/>
                <w:sz w:val="21"/>
                <w:szCs w:val="21"/>
                <w:highlight w:val="none"/>
                <w:lang w:val="en-US" w:eastAsia="zh-CN" w:bidi="ar-SA"/>
              </w:rPr>
            </w:pPr>
            <w:r>
              <w:rPr>
                <w:color w:val="000000"/>
                <w:szCs w:val="21"/>
                <w:highlight w:val="none"/>
              </w:rPr>
              <w:t>综合评分法（</w:t>
            </w:r>
            <w:r>
              <w:rPr>
                <w:szCs w:val="21"/>
                <w:highlight w:val="none"/>
              </w:rPr>
              <w:t>单信封）。具体见“第三章 评</w:t>
            </w:r>
            <w:r>
              <w:rPr>
                <w:rFonts w:hint="eastAsia"/>
                <w:szCs w:val="21"/>
                <w:highlight w:val="none"/>
                <w:lang w:val="en-US" w:eastAsia="zh-CN"/>
              </w:rPr>
              <w:t>审</w:t>
            </w:r>
            <w:r>
              <w:rPr>
                <w:szCs w:val="21"/>
                <w:highlight w:val="none"/>
              </w:rPr>
              <w:t>办法”。</w:t>
            </w:r>
          </w:p>
        </w:tc>
      </w:tr>
      <w:tr w14:paraId="56BCF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63" w:type="dxa"/>
            <w:vAlign w:val="center"/>
          </w:tcPr>
          <w:p w14:paraId="157A49A8">
            <w:pPr>
              <w:spacing w:line="360" w:lineRule="auto"/>
              <w:jc w:val="center"/>
              <w:rPr>
                <w:rFonts w:hint="default" w:ascii="Times New Roman" w:hAnsi="Times New Roman" w:eastAsia="宋体" w:cs="Times New Roman"/>
                <w:color w:val="000000"/>
                <w:szCs w:val="21"/>
                <w:highlight w:val="none"/>
                <w:lang w:val="en-US" w:eastAsia="zh-CN"/>
              </w:rPr>
            </w:pPr>
            <w:r>
              <w:rPr>
                <w:rFonts w:hint="eastAsia" w:ascii="Times New Roman" w:hAnsi="Times New Roman" w:cs="Times New Roman"/>
                <w:color w:val="000000"/>
                <w:szCs w:val="21"/>
                <w:highlight w:val="none"/>
                <w:lang w:val="en-US" w:eastAsia="zh-CN"/>
              </w:rPr>
              <w:t>39</w:t>
            </w:r>
          </w:p>
        </w:tc>
        <w:tc>
          <w:tcPr>
            <w:tcW w:w="1962" w:type="dxa"/>
            <w:vAlign w:val="center"/>
          </w:tcPr>
          <w:p w14:paraId="322EBB77">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是否授权评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委员会确定</w:t>
            </w:r>
            <w:r>
              <w:rPr>
                <w:rFonts w:hint="eastAsia" w:ascii="Times New Roman" w:hAnsi="Times New Roman" w:cs="Times New Roman"/>
                <w:color w:val="000000"/>
                <w:szCs w:val="21"/>
                <w:highlight w:val="none"/>
              </w:rPr>
              <w:t>中选</w:t>
            </w:r>
            <w:r>
              <w:rPr>
                <w:rFonts w:ascii="Times New Roman" w:hAnsi="Times New Roman" w:cs="Times New Roman"/>
                <w:color w:val="000000"/>
                <w:szCs w:val="21"/>
                <w:highlight w:val="none"/>
              </w:rPr>
              <w:t>人</w:t>
            </w:r>
          </w:p>
        </w:tc>
        <w:tc>
          <w:tcPr>
            <w:tcW w:w="6895" w:type="dxa"/>
            <w:vAlign w:val="center"/>
          </w:tcPr>
          <w:p w14:paraId="6AEF901F">
            <w:pPr>
              <w:spacing w:line="360" w:lineRule="auto"/>
              <w:rPr>
                <w:rFonts w:ascii="Times New Roman" w:hAnsi="Times New Roman" w:cs="Times New Roman"/>
                <w:color w:val="auto"/>
                <w:szCs w:val="21"/>
                <w:highlight w:val="none"/>
              </w:rPr>
            </w:pPr>
            <w:r>
              <w:rPr>
                <w:rFonts w:ascii="Times New Roman" w:hAnsi="Times New Roman" w:cs="Times New Roman"/>
                <w:color w:val="auto"/>
                <w:szCs w:val="21"/>
                <w:highlight w:val="none"/>
                <w:u w:val="single"/>
              </w:rPr>
              <w:t>否</w:t>
            </w:r>
            <w:r>
              <w:rPr>
                <w:rFonts w:hint="eastAsia" w:ascii="Times New Roman" w:hAnsi="Times New Roman" w:cs="Times New Roman"/>
                <w:color w:val="auto"/>
                <w:szCs w:val="21"/>
                <w:highlight w:val="none"/>
                <w:u w:val="single"/>
                <w:lang w:eastAsia="zh-CN"/>
              </w:rPr>
              <w:t>，</w:t>
            </w:r>
            <w:r>
              <w:rPr>
                <w:rFonts w:ascii="Times New Roman" w:hAnsi="Times New Roman" w:cs="Times New Roman"/>
                <w:color w:val="auto"/>
                <w:szCs w:val="21"/>
                <w:highlight w:val="none"/>
              </w:rPr>
              <w:t>由评</w:t>
            </w:r>
            <w:r>
              <w:rPr>
                <w:rFonts w:hint="default" w:ascii="Times New Roman" w:hAnsi="Times New Roman" w:eastAsia="宋体" w:cs="Times New Roman"/>
                <w:color w:val="auto"/>
                <w:szCs w:val="21"/>
                <w:highlight w:val="none"/>
                <w:lang w:val="en-US" w:eastAsia="zh-CN"/>
              </w:rPr>
              <w:t>审</w:t>
            </w:r>
            <w:r>
              <w:rPr>
                <w:rFonts w:ascii="Times New Roman" w:hAnsi="Times New Roman" w:eastAsia="宋体" w:cs="Times New Roman"/>
                <w:color w:val="auto"/>
                <w:szCs w:val="21"/>
                <w:highlight w:val="none"/>
              </w:rPr>
              <w:t>委员会推荐</w:t>
            </w:r>
            <w:r>
              <w:rPr>
                <w:rFonts w:ascii="Times New Roman" w:hAnsi="Times New Roman" w:eastAsia="宋体" w:cs="Times New Roman"/>
                <w:color w:val="auto"/>
                <w:szCs w:val="21"/>
                <w:highlight w:val="none"/>
                <w:u w:val="none"/>
              </w:rPr>
              <w:t>1～3</w:t>
            </w:r>
            <w:r>
              <w:rPr>
                <w:rFonts w:ascii="Times New Roman" w:hAnsi="Times New Roman" w:eastAsia="宋体" w:cs="Times New Roman"/>
                <w:color w:val="auto"/>
                <w:szCs w:val="21"/>
                <w:highlight w:val="none"/>
              </w:rPr>
              <w:t>名</w:t>
            </w:r>
            <w:r>
              <w:rPr>
                <w:rFonts w:hint="default" w:ascii="Times New Roman" w:hAnsi="Times New Roman" w:eastAsia="宋体" w:cs="Times New Roman"/>
                <w:color w:val="auto"/>
                <w:szCs w:val="21"/>
                <w:highlight w:val="none"/>
              </w:rPr>
              <w:t>中选</w:t>
            </w:r>
            <w:r>
              <w:rPr>
                <w:rFonts w:ascii="Times New Roman" w:hAnsi="Times New Roman" w:eastAsia="宋体" w:cs="Times New Roman"/>
                <w:color w:val="auto"/>
                <w:szCs w:val="21"/>
                <w:highlight w:val="none"/>
              </w:rPr>
              <w:t>候选人</w:t>
            </w:r>
            <w:r>
              <w:rPr>
                <w:rFonts w:hint="default" w:ascii="Times New Roman" w:hAnsi="Times New Roman" w:eastAsia="宋体" w:cs="Times New Roman"/>
                <w:color w:val="auto"/>
                <w:sz w:val="21"/>
                <w:szCs w:val="21"/>
                <w:highlight w:val="none"/>
              </w:rPr>
              <w:t>（若不足</w:t>
            </w:r>
            <w:r>
              <w:rPr>
                <w:rFonts w:ascii="Times New Roman" w:hAnsi="Times New Roman" w:eastAsia="宋体" w:cs="Times New Roman"/>
                <w:color w:val="auto"/>
                <w:sz w:val="21"/>
                <w:szCs w:val="21"/>
                <w:highlight w:val="none"/>
              </w:rPr>
              <w:t>3</w:t>
            </w:r>
            <w:r>
              <w:rPr>
                <w:rFonts w:hint="default" w:ascii="Times New Roman" w:hAnsi="Times New Roman" w:eastAsia="宋体" w:cs="Times New Roman"/>
                <w:color w:val="auto"/>
                <w:sz w:val="21"/>
                <w:szCs w:val="21"/>
                <w:highlight w:val="none"/>
              </w:rPr>
              <w:t>名时按实际数量推荐）</w:t>
            </w:r>
            <w:r>
              <w:rPr>
                <w:rFonts w:hint="default" w:ascii="Times New Roman" w:hAnsi="Times New Roman" w:eastAsia="宋体" w:cs="Times New Roman"/>
                <w:color w:val="auto"/>
                <w:sz w:val="21"/>
                <w:szCs w:val="21"/>
                <w:highlight w:val="none"/>
                <w:lang w:eastAsia="zh-CN"/>
              </w:rPr>
              <w:t>，综合评分相等时，以报价低的优先；报价也相等的，</w:t>
            </w:r>
            <w:r>
              <w:rPr>
                <w:rFonts w:hint="eastAsia" w:ascii="Times New Roman" w:hAnsi="Times New Roman" w:eastAsia="宋体" w:cs="Times New Roman"/>
                <w:color w:val="auto"/>
                <w:sz w:val="21"/>
                <w:szCs w:val="21"/>
                <w:highlight w:val="none"/>
                <w:lang w:val="en-US" w:eastAsia="zh-CN"/>
              </w:rPr>
              <w:t>以</w:t>
            </w:r>
            <w:r>
              <w:rPr>
                <w:rFonts w:hint="default" w:ascii="Times New Roman" w:hAnsi="Times New Roman" w:cs="Times New Roman"/>
                <w:color w:val="auto"/>
                <w:szCs w:val="21"/>
                <w:highlight w:val="none"/>
                <w:lang w:val="en-US" w:eastAsia="zh-CN"/>
              </w:rPr>
              <w:t>商务和技术</w:t>
            </w:r>
            <w:r>
              <w:rPr>
                <w:rFonts w:hint="eastAsia" w:ascii="Times New Roman" w:hAnsi="Times New Roman" w:cs="Times New Roman"/>
                <w:color w:val="auto"/>
                <w:szCs w:val="21"/>
                <w:highlight w:val="none"/>
                <w:lang w:val="en-US" w:eastAsia="zh-CN"/>
              </w:rPr>
              <w:t>部分合计</w:t>
            </w:r>
            <w:r>
              <w:rPr>
                <w:rFonts w:hint="default" w:ascii="Times New Roman" w:hAnsi="Times New Roman" w:cs="Times New Roman"/>
                <w:color w:val="auto"/>
                <w:szCs w:val="21"/>
                <w:highlight w:val="none"/>
                <w:lang w:val="en-US" w:eastAsia="zh-CN"/>
              </w:rPr>
              <w:t>得分高的</w:t>
            </w:r>
            <w:r>
              <w:rPr>
                <w:rFonts w:hint="default" w:ascii="Times New Roman" w:hAnsi="Times New Roman" w:eastAsia="宋体" w:cs="Times New Roman"/>
                <w:color w:val="auto"/>
                <w:sz w:val="21"/>
                <w:szCs w:val="21"/>
                <w:highlight w:val="none"/>
                <w:lang w:eastAsia="zh-CN"/>
              </w:rPr>
              <w:t>。</w:t>
            </w:r>
          </w:p>
        </w:tc>
      </w:tr>
      <w:tr w14:paraId="36C07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863" w:type="dxa"/>
            <w:vAlign w:val="center"/>
          </w:tcPr>
          <w:p w14:paraId="38AA15AC">
            <w:pPr>
              <w:spacing w:line="360" w:lineRule="auto"/>
              <w:jc w:val="center"/>
              <w:rPr>
                <w:rFonts w:hint="default" w:ascii="Times New Roman" w:hAnsi="Times New Roman" w:eastAsia="宋体" w:cs="Times New Roman"/>
                <w:color w:val="000000"/>
                <w:szCs w:val="21"/>
                <w:highlight w:val="none"/>
                <w:lang w:val="en-US" w:eastAsia="zh-CN"/>
              </w:rPr>
            </w:pPr>
            <w:r>
              <w:rPr>
                <w:rFonts w:hint="eastAsia" w:ascii="Times New Roman" w:hAnsi="Times New Roman" w:cs="Times New Roman"/>
                <w:color w:val="000000"/>
                <w:szCs w:val="21"/>
                <w:highlight w:val="none"/>
                <w:lang w:val="en-US" w:eastAsia="zh-CN"/>
              </w:rPr>
              <w:t>40</w:t>
            </w:r>
          </w:p>
        </w:tc>
        <w:tc>
          <w:tcPr>
            <w:tcW w:w="1962" w:type="dxa"/>
            <w:vAlign w:val="center"/>
          </w:tcPr>
          <w:p w14:paraId="59F61BD9">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履约担保</w:t>
            </w:r>
          </w:p>
        </w:tc>
        <w:tc>
          <w:tcPr>
            <w:tcW w:w="6895" w:type="dxa"/>
            <w:vAlign w:val="center"/>
          </w:tcPr>
          <w:p w14:paraId="0DE8541C">
            <w:pPr>
              <w:widowControl/>
              <w:spacing w:line="360" w:lineRule="auto"/>
              <w:jc w:val="left"/>
              <w:rPr>
                <w:rFonts w:ascii="Times New Roman" w:cs="Times New Roman"/>
                <w:color w:val="auto"/>
                <w:szCs w:val="21"/>
                <w:highlight w:val="none"/>
              </w:rPr>
            </w:pPr>
            <w:r>
              <w:rPr>
                <w:rFonts w:ascii="Times New Roman" w:hAnsi="Times New Roman" w:cs="Times New Roman"/>
                <w:color w:val="auto"/>
                <w:szCs w:val="21"/>
                <w:highlight w:val="none"/>
              </w:rPr>
              <w:t>1、履约担保为</w:t>
            </w:r>
            <w:r>
              <w:rPr>
                <w:rFonts w:hint="eastAsia" w:ascii="Times New Roman" w:hAnsi="Times New Roman" w:cs="Times New Roman"/>
                <w:color w:val="auto"/>
                <w:szCs w:val="21"/>
                <w:highlight w:val="none"/>
              </w:rPr>
              <w:t>：</w:t>
            </w:r>
            <w:r>
              <w:rPr>
                <w:rFonts w:hint="eastAsia" w:ascii="Times New Roman" w:hAnsi="Times New Roman" w:cs="Times New Roman"/>
                <w:color w:val="auto"/>
                <w:szCs w:val="21"/>
                <w:highlight w:val="none"/>
                <w:lang w:val="en-US" w:eastAsia="zh-CN"/>
              </w:rPr>
              <w:t>2万</w:t>
            </w:r>
            <w:r>
              <w:rPr>
                <w:rFonts w:ascii="Times New Roman" w:hAnsi="Times New Roman" w:cs="Times New Roman"/>
                <w:color w:val="auto"/>
                <w:szCs w:val="21"/>
                <w:highlight w:val="none"/>
              </w:rPr>
              <w:t>元</w:t>
            </w:r>
            <w:r>
              <w:rPr>
                <w:rFonts w:hint="eastAsia" w:ascii="Times New Roman" w:hAnsi="Times New Roman" w:cs="Times New Roman"/>
                <w:color w:val="auto"/>
                <w:szCs w:val="21"/>
                <w:highlight w:val="none"/>
                <w:lang w:val="en-US" w:eastAsia="zh-CN"/>
              </w:rPr>
              <w:t>整</w:t>
            </w:r>
            <w:r>
              <w:rPr>
                <w:rFonts w:ascii="Times New Roman" w:hAnsi="Times New Roman" w:cs="Times New Roman"/>
                <w:color w:val="auto"/>
                <w:szCs w:val="21"/>
                <w:highlight w:val="none"/>
              </w:rPr>
              <w:t>（大写：</w:t>
            </w:r>
            <w:r>
              <w:rPr>
                <w:rFonts w:hint="eastAsia" w:ascii="Times New Roman" w:hAnsi="Times New Roman" w:cs="Times New Roman"/>
                <w:color w:val="auto"/>
                <w:szCs w:val="21"/>
                <w:highlight w:val="none"/>
                <w:lang w:val="en-US" w:eastAsia="zh-CN"/>
              </w:rPr>
              <w:t>贰万元整</w:t>
            </w:r>
            <w:r>
              <w:rPr>
                <w:rFonts w:ascii="Times New Roman" w:hAnsi="Times New Roman" w:cs="Times New Roman"/>
                <w:color w:val="auto"/>
                <w:szCs w:val="21"/>
                <w:highlight w:val="none"/>
              </w:rPr>
              <w:t>），</w:t>
            </w:r>
            <w:r>
              <w:rPr>
                <w:rFonts w:hint="eastAsia" w:ascii="Times New Roman" w:hAnsi="Times New Roman" w:cs="Times New Roman"/>
                <w:color w:val="auto"/>
                <w:szCs w:val="21"/>
                <w:highlight w:val="none"/>
              </w:rPr>
              <w:t>中选人</w:t>
            </w:r>
            <w:r>
              <w:rPr>
                <w:rFonts w:ascii="Times New Roman" w:hAnsi="Times New Roman" w:cs="Times New Roman"/>
                <w:color w:val="auto"/>
                <w:szCs w:val="21"/>
                <w:highlight w:val="none"/>
              </w:rPr>
              <w:t>应向</w:t>
            </w:r>
            <w:r>
              <w:rPr>
                <w:rFonts w:hint="eastAsia" w:ascii="Times New Roman" w:hAnsi="Times New Roman" w:cs="Times New Roman"/>
                <w:color w:val="auto"/>
                <w:szCs w:val="21"/>
                <w:highlight w:val="none"/>
              </w:rPr>
              <w:t>比选人</w:t>
            </w:r>
            <w:r>
              <w:rPr>
                <w:rFonts w:ascii="Times New Roman" w:hAnsi="Times New Roman" w:cs="Times New Roman"/>
                <w:color w:val="auto"/>
                <w:szCs w:val="21"/>
                <w:highlight w:val="none"/>
              </w:rPr>
              <w:t xml:space="preserve">缴纳现金（支票）担保或由具有国有背景的银行开具的履约保函。 </w:t>
            </w:r>
          </w:p>
          <w:p w14:paraId="5DB34FAB">
            <w:pPr>
              <w:widowControl/>
              <w:spacing w:line="360" w:lineRule="auto"/>
              <w:jc w:val="left"/>
              <w:rPr>
                <w:rFonts w:ascii="Times New Roman" w:cs="Times New Roman"/>
                <w:color w:val="auto"/>
                <w:szCs w:val="21"/>
                <w:highlight w:val="none"/>
              </w:rPr>
            </w:pPr>
            <w:r>
              <w:rPr>
                <w:rFonts w:ascii="Times New Roman" w:hAnsi="Times New Roman" w:cs="Times New Roman"/>
                <w:color w:val="auto"/>
                <w:szCs w:val="21"/>
                <w:highlight w:val="none"/>
              </w:rPr>
              <w:t>2、提交履约担保的时间：</w:t>
            </w:r>
            <w:r>
              <w:rPr>
                <w:rFonts w:hint="eastAsia" w:ascii="Times New Roman" w:hAnsi="Times New Roman" w:cs="Times New Roman"/>
                <w:color w:val="auto"/>
                <w:szCs w:val="21"/>
                <w:highlight w:val="none"/>
              </w:rPr>
              <w:t>中选人</w:t>
            </w:r>
            <w:r>
              <w:rPr>
                <w:rFonts w:ascii="Times New Roman" w:hAnsi="Times New Roman" w:cs="Times New Roman"/>
                <w:color w:val="auto"/>
                <w:szCs w:val="21"/>
                <w:highlight w:val="none"/>
              </w:rPr>
              <w:t>在收到</w:t>
            </w:r>
            <w:r>
              <w:rPr>
                <w:rFonts w:hint="eastAsia" w:ascii="Times New Roman" w:hAnsi="Times New Roman" w:cs="Times New Roman"/>
                <w:color w:val="auto"/>
                <w:szCs w:val="21"/>
                <w:highlight w:val="none"/>
                <w:lang w:eastAsia="zh-CN"/>
              </w:rPr>
              <w:t>中选</w:t>
            </w:r>
            <w:r>
              <w:rPr>
                <w:rFonts w:ascii="Times New Roman" w:hAnsi="Times New Roman" w:cs="Times New Roman"/>
                <w:color w:val="auto"/>
                <w:szCs w:val="21"/>
                <w:highlight w:val="none"/>
              </w:rPr>
              <w:t>通知书后</w:t>
            </w:r>
            <w:r>
              <w:rPr>
                <w:rFonts w:hint="eastAsia" w:ascii="Times New Roman" w:hAnsi="Times New Roman" w:cs="Times New Roman"/>
                <w:color w:val="auto"/>
                <w:szCs w:val="21"/>
                <w:highlight w:val="none"/>
              </w:rPr>
              <w:t>30</w:t>
            </w:r>
            <w:r>
              <w:rPr>
                <w:rFonts w:ascii="Times New Roman" w:hAnsi="Times New Roman" w:cs="Times New Roman"/>
                <w:color w:val="auto"/>
                <w:szCs w:val="21"/>
                <w:highlight w:val="none"/>
              </w:rPr>
              <w:t xml:space="preserve">天内，并在签 </w:t>
            </w:r>
          </w:p>
          <w:p w14:paraId="12F52F6D">
            <w:pPr>
              <w:widowControl/>
              <w:spacing w:line="360" w:lineRule="auto"/>
              <w:jc w:val="left"/>
              <w:rPr>
                <w:rFonts w:ascii="Times New Roman" w:cs="Times New Roman"/>
                <w:color w:val="auto"/>
                <w:szCs w:val="21"/>
                <w:highlight w:val="none"/>
              </w:rPr>
            </w:pPr>
            <w:r>
              <w:rPr>
                <w:rFonts w:ascii="Times New Roman" w:hAnsi="Times New Roman" w:cs="Times New Roman"/>
                <w:color w:val="auto"/>
                <w:szCs w:val="21"/>
                <w:highlight w:val="none"/>
              </w:rPr>
              <w:t xml:space="preserve">订合同协议书之前。 </w:t>
            </w:r>
          </w:p>
          <w:p w14:paraId="346E7965">
            <w:pPr>
              <w:widowControl/>
              <w:spacing w:line="360" w:lineRule="auto"/>
              <w:jc w:val="left"/>
              <w:rPr>
                <w:rFonts w:ascii="Times New Roman" w:cs="Times New Roman"/>
                <w:color w:val="auto"/>
                <w:szCs w:val="21"/>
                <w:highlight w:val="none"/>
              </w:rPr>
            </w:pPr>
            <w:r>
              <w:rPr>
                <w:rFonts w:ascii="Times New Roman" w:hAnsi="Times New Roman" w:cs="Times New Roman"/>
                <w:color w:val="auto"/>
                <w:szCs w:val="21"/>
                <w:highlight w:val="none"/>
              </w:rPr>
              <w:t xml:space="preserve">3、履约保证金指定账户： </w:t>
            </w:r>
          </w:p>
          <w:p w14:paraId="75DDEDAE">
            <w:pPr>
              <w:widowControl/>
              <w:spacing w:line="360" w:lineRule="auto"/>
              <w:jc w:val="left"/>
              <w:rPr>
                <w:rFonts w:ascii="Times New Roman" w:cs="Times New Roman"/>
                <w:color w:val="auto"/>
                <w:szCs w:val="21"/>
                <w:highlight w:val="none"/>
              </w:rPr>
            </w:pPr>
            <w:r>
              <w:rPr>
                <w:rFonts w:ascii="Times New Roman" w:hAnsi="Times New Roman" w:cs="Times New Roman"/>
                <w:color w:val="auto"/>
                <w:szCs w:val="21"/>
                <w:highlight w:val="none"/>
              </w:rPr>
              <w:t xml:space="preserve">开户名：四川蜀道新能源科技发展有限公司 </w:t>
            </w:r>
          </w:p>
          <w:p w14:paraId="1EF75B02">
            <w:pPr>
              <w:widowControl/>
              <w:spacing w:line="360" w:lineRule="auto"/>
              <w:jc w:val="left"/>
              <w:rPr>
                <w:rFonts w:ascii="Times New Roman" w:cs="Times New Roman"/>
                <w:color w:val="auto"/>
                <w:szCs w:val="21"/>
                <w:highlight w:val="none"/>
              </w:rPr>
            </w:pPr>
            <w:r>
              <w:rPr>
                <w:rFonts w:ascii="Times New Roman" w:hAnsi="Times New Roman" w:cs="Times New Roman"/>
                <w:color w:val="auto"/>
                <w:szCs w:val="21"/>
                <w:highlight w:val="none"/>
              </w:rPr>
              <w:t xml:space="preserve">开户行：中国建设银行成都第三支行 </w:t>
            </w:r>
          </w:p>
          <w:p w14:paraId="6DE2EBC9">
            <w:pPr>
              <w:widowControl/>
              <w:spacing w:line="360" w:lineRule="auto"/>
              <w:jc w:val="left"/>
              <w:rPr>
                <w:rFonts w:ascii="Times New Roman" w:cs="Times New Roman"/>
                <w:color w:val="auto"/>
                <w:szCs w:val="21"/>
                <w:highlight w:val="none"/>
              </w:rPr>
            </w:pPr>
            <w:r>
              <w:rPr>
                <w:rFonts w:ascii="Times New Roman" w:hAnsi="Times New Roman" w:cs="Times New Roman"/>
                <w:color w:val="auto"/>
                <w:szCs w:val="21"/>
                <w:highlight w:val="none"/>
              </w:rPr>
              <w:t xml:space="preserve">账 </w:t>
            </w:r>
            <w:r>
              <w:rPr>
                <w:rFonts w:hint="eastAsia" w:ascii="Times New Roman" w:hAnsi="Times New Roman" w:cs="Times New Roman"/>
                <w:color w:val="auto"/>
                <w:szCs w:val="21"/>
                <w:highlight w:val="none"/>
              </w:rPr>
              <w:t xml:space="preserve"> </w:t>
            </w:r>
            <w:r>
              <w:rPr>
                <w:rFonts w:ascii="Times New Roman" w:hAnsi="Times New Roman" w:cs="Times New Roman"/>
                <w:color w:val="auto"/>
                <w:szCs w:val="21"/>
                <w:highlight w:val="none"/>
              </w:rPr>
              <w:t xml:space="preserve">号：5105 0143 6308 0000 4340 </w:t>
            </w:r>
          </w:p>
          <w:p w14:paraId="5F3C0ACD">
            <w:pPr>
              <w:widowControl/>
              <w:spacing w:line="360" w:lineRule="auto"/>
              <w:jc w:val="left"/>
              <w:rPr>
                <w:rFonts w:ascii="Times New Roman" w:cs="Times New Roman"/>
                <w:color w:val="auto"/>
                <w:szCs w:val="21"/>
                <w:highlight w:val="none"/>
              </w:rPr>
            </w:pPr>
            <w:r>
              <w:rPr>
                <w:rFonts w:ascii="Times New Roman" w:hAnsi="Times New Roman" w:cs="Times New Roman"/>
                <w:color w:val="auto"/>
                <w:szCs w:val="21"/>
                <w:highlight w:val="none"/>
              </w:rPr>
              <w:t>4、保函续期：履约保函到期前，</w:t>
            </w:r>
            <w:r>
              <w:rPr>
                <w:rFonts w:hint="eastAsia" w:ascii="Times New Roman" w:hAnsi="Times New Roman" w:cs="Times New Roman"/>
                <w:color w:val="auto"/>
                <w:szCs w:val="21"/>
                <w:highlight w:val="none"/>
              </w:rPr>
              <w:t>中选人</w:t>
            </w:r>
            <w:r>
              <w:rPr>
                <w:rFonts w:ascii="Times New Roman" w:hAnsi="Times New Roman" w:cs="Times New Roman"/>
                <w:color w:val="auto"/>
                <w:szCs w:val="21"/>
                <w:highlight w:val="none"/>
              </w:rPr>
              <w:t>必须及时向</w:t>
            </w:r>
            <w:r>
              <w:rPr>
                <w:rFonts w:hint="eastAsia" w:ascii="Times New Roman" w:hAnsi="Times New Roman" w:cs="Times New Roman"/>
                <w:color w:val="auto"/>
                <w:szCs w:val="21"/>
                <w:highlight w:val="none"/>
              </w:rPr>
              <w:t>比选人</w:t>
            </w:r>
            <w:r>
              <w:rPr>
                <w:rFonts w:ascii="Times New Roman" w:hAnsi="Times New Roman" w:cs="Times New Roman"/>
                <w:color w:val="auto"/>
                <w:szCs w:val="21"/>
                <w:highlight w:val="none"/>
              </w:rPr>
              <w:t xml:space="preserve">提交续期的履 </w:t>
            </w:r>
          </w:p>
          <w:p w14:paraId="3C656742">
            <w:pPr>
              <w:widowControl/>
              <w:spacing w:line="360" w:lineRule="auto"/>
              <w:jc w:val="left"/>
              <w:rPr>
                <w:rFonts w:ascii="Times New Roman" w:cs="Times New Roman"/>
                <w:color w:val="auto"/>
                <w:szCs w:val="21"/>
                <w:highlight w:val="none"/>
              </w:rPr>
            </w:pPr>
            <w:r>
              <w:rPr>
                <w:rFonts w:ascii="Times New Roman" w:hAnsi="Times New Roman" w:cs="Times New Roman"/>
                <w:color w:val="auto"/>
                <w:szCs w:val="21"/>
                <w:highlight w:val="none"/>
              </w:rPr>
              <w:t>约保函，由于履约保函到期造成</w:t>
            </w:r>
            <w:r>
              <w:rPr>
                <w:rFonts w:hint="eastAsia" w:ascii="Times New Roman" w:hAnsi="Times New Roman" w:cs="Times New Roman"/>
                <w:color w:val="auto"/>
                <w:szCs w:val="21"/>
                <w:highlight w:val="none"/>
              </w:rPr>
              <w:t>比选人</w:t>
            </w:r>
            <w:r>
              <w:rPr>
                <w:rFonts w:ascii="Times New Roman" w:hAnsi="Times New Roman" w:cs="Times New Roman"/>
                <w:color w:val="auto"/>
                <w:szCs w:val="21"/>
                <w:highlight w:val="none"/>
              </w:rPr>
              <w:t xml:space="preserve">合法利益受到损失，一切责任和费 </w:t>
            </w:r>
          </w:p>
          <w:p w14:paraId="1DB4DA13">
            <w:pPr>
              <w:spacing w:line="360" w:lineRule="auto"/>
              <w:rPr>
                <w:rFonts w:hint="eastAsia" w:ascii="Times New Roman" w:hAnsi="Times New Roman" w:eastAsia="宋体" w:cs="Times New Roman"/>
                <w:color w:val="auto"/>
                <w:szCs w:val="21"/>
                <w:highlight w:val="none"/>
                <w:lang w:val="en-US" w:eastAsia="zh-CN"/>
              </w:rPr>
            </w:pPr>
            <w:r>
              <w:rPr>
                <w:rFonts w:ascii="Times New Roman" w:hAnsi="Times New Roman" w:cs="Times New Roman"/>
                <w:color w:val="auto"/>
                <w:szCs w:val="21"/>
                <w:highlight w:val="none"/>
              </w:rPr>
              <w:t>用由</w:t>
            </w:r>
            <w:r>
              <w:rPr>
                <w:rFonts w:hint="eastAsia" w:ascii="Times New Roman" w:hAnsi="Times New Roman" w:cs="Times New Roman"/>
                <w:color w:val="auto"/>
                <w:szCs w:val="21"/>
                <w:highlight w:val="none"/>
              </w:rPr>
              <w:t>中选人</w:t>
            </w:r>
            <w:r>
              <w:rPr>
                <w:rFonts w:ascii="Times New Roman" w:hAnsi="Times New Roman" w:cs="Times New Roman"/>
                <w:color w:val="auto"/>
                <w:szCs w:val="21"/>
                <w:highlight w:val="none"/>
              </w:rPr>
              <w:t>承担</w:t>
            </w:r>
            <w:r>
              <w:rPr>
                <w:rFonts w:hint="eastAsia" w:ascii="Times New Roman" w:hAnsi="Times New Roman" w:cs="Times New Roman"/>
                <w:color w:val="auto"/>
                <w:szCs w:val="21"/>
                <w:highlight w:val="none"/>
              </w:rPr>
              <w:t>。</w:t>
            </w:r>
          </w:p>
        </w:tc>
      </w:tr>
      <w:tr w14:paraId="28756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863" w:type="dxa"/>
            <w:vAlign w:val="center"/>
          </w:tcPr>
          <w:p w14:paraId="4A525B39">
            <w:pPr>
              <w:spacing w:line="360" w:lineRule="auto"/>
              <w:jc w:val="center"/>
              <w:rPr>
                <w:rFonts w:hint="default" w:ascii="Times New Roman" w:hAnsi="Times New Roman" w:eastAsia="宋体" w:cs="Times New Roman"/>
                <w:color w:val="000000"/>
                <w:szCs w:val="21"/>
                <w:highlight w:val="none"/>
                <w:lang w:val="en-US" w:eastAsia="zh-CN"/>
              </w:rPr>
            </w:pPr>
            <w:r>
              <w:rPr>
                <w:rFonts w:hint="eastAsia" w:ascii="Times New Roman" w:hAnsi="Times New Roman" w:cs="Times New Roman"/>
                <w:color w:val="000000"/>
                <w:szCs w:val="21"/>
                <w:highlight w:val="none"/>
                <w:lang w:val="en-US" w:eastAsia="zh-CN"/>
              </w:rPr>
              <w:t>41</w:t>
            </w:r>
          </w:p>
        </w:tc>
        <w:tc>
          <w:tcPr>
            <w:tcW w:w="1962" w:type="dxa"/>
            <w:vAlign w:val="center"/>
          </w:tcPr>
          <w:p w14:paraId="4E84EB04">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签订合同</w:t>
            </w:r>
          </w:p>
        </w:tc>
        <w:tc>
          <w:tcPr>
            <w:tcW w:w="6895" w:type="dxa"/>
            <w:vAlign w:val="center"/>
          </w:tcPr>
          <w:p w14:paraId="07F163BD">
            <w:pPr>
              <w:spacing w:line="360" w:lineRule="auto"/>
              <w:rPr>
                <w:rFonts w:ascii="Times New Roman" w:hAnsi="Times New Roman" w:cs="Times New Roman"/>
                <w:szCs w:val="21"/>
                <w:highlight w:val="none"/>
              </w:rPr>
            </w:pPr>
            <w:r>
              <w:rPr>
                <w:rFonts w:ascii="Times New Roman" w:hAnsi="Times New Roman" w:cs="Times New Roman"/>
                <w:szCs w:val="21"/>
                <w:highlight w:val="none"/>
              </w:rPr>
              <w:t>1、</w:t>
            </w:r>
            <w:r>
              <w:rPr>
                <w:rFonts w:hint="eastAsia" w:ascii="Times New Roman" w:hAnsi="Times New Roman" w:cs="Times New Roman"/>
                <w:szCs w:val="21"/>
                <w:highlight w:val="none"/>
              </w:rPr>
              <w:t>中选</w:t>
            </w:r>
            <w:r>
              <w:rPr>
                <w:rFonts w:ascii="Times New Roman" w:hAnsi="Times New Roman" w:cs="Times New Roman"/>
                <w:szCs w:val="21"/>
                <w:highlight w:val="none"/>
              </w:rPr>
              <w:t>人自</w:t>
            </w:r>
            <w:r>
              <w:rPr>
                <w:rFonts w:hint="eastAsia" w:ascii="Times New Roman" w:hAnsi="Times New Roman" w:cs="Times New Roman"/>
                <w:szCs w:val="21"/>
                <w:highlight w:val="none"/>
              </w:rPr>
              <w:t>中选</w:t>
            </w:r>
            <w:r>
              <w:rPr>
                <w:rFonts w:ascii="Times New Roman" w:hAnsi="Times New Roman" w:cs="Times New Roman"/>
                <w:szCs w:val="21"/>
                <w:highlight w:val="none"/>
              </w:rPr>
              <w:t>通知书发出之日起</w:t>
            </w:r>
            <w:r>
              <w:rPr>
                <w:rFonts w:ascii="Times New Roman" w:hAnsi="Times New Roman" w:cs="Times New Roman"/>
                <w:szCs w:val="21"/>
                <w:highlight w:val="none"/>
                <w:u w:val="single"/>
              </w:rPr>
              <w:t>30</w:t>
            </w:r>
            <w:r>
              <w:rPr>
                <w:rFonts w:ascii="Times New Roman" w:hAnsi="Times New Roman" w:cs="Times New Roman"/>
                <w:szCs w:val="21"/>
                <w:highlight w:val="none"/>
              </w:rPr>
              <w:t>日内，与</w:t>
            </w:r>
            <w:r>
              <w:rPr>
                <w:rFonts w:hint="eastAsia" w:ascii="Times New Roman" w:hAnsi="Times New Roman" w:cs="Times New Roman"/>
                <w:szCs w:val="21"/>
                <w:highlight w:val="none"/>
              </w:rPr>
              <w:t>比选人</w:t>
            </w:r>
            <w:r>
              <w:rPr>
                <w:rFonts w:ascii="Times New Roman" w:hAnsi="Times New Roman" w:cs="Times New Roman"/>
                <w:szCs w:val="21"/>
                <w:highlight w:val="none"/>
              </w:rPr>
              <w:t>订立书面合同。</w:t>
            </w:r>
          </w:p>
          <w:p w14:paraId="393FEF69">
            <w:pPr>
              <w:spacing w:line="360" w:lineRule="auto"/>
              <w:rPr>
                <w:rFonts w:ascii="Times New Roman" w:hAnsi="Times New Roman" w:cs="Times New Roman"/>
                <w:color w:val="000000"/>
                <w:szCs w:val="21"/>
                <w:highlight w:val="none"/>
              </w:rPr>
            </w:pPr>
            <w:r>
              <w:rPr>
                <w:rFonts w:ascii="Times New Roman" w:hAnsi="Times New Roman" w:cs="Times New Roman"/>
                <w:szCs w:val="21"/>
                <w:highlight w:val="none"/>
              </w:rPr>
              <w:t>2、</w:t>
            </w:r>
            <w:r>
              <w:rPr>
                <w:rFonts w:hint="eastAsia" w:ascii="Times New Roman" w:hAnsi="Times New Roman" w:cs="Times New Roman"/>
                <w:szCs w:val="21"/>
                <w:highlight w:val="none"/>
              </w:rPr>
              <w:t>中选</w:t>
            </w:r>
            <w:r>
              <w:rPr>
                <w:rFonts w:ascii="Times New Roman" w:hAnsi="Times New Roman" w:cs="Times New Roman"/>
                <w:szCs w:val="21"/>
                <w:highlight w:val="none"/>
              </w:rPr>
              <w:t>人无正当理由拒签合同的，或在签订合同时向</w:t>
            </w:r>
            <w:r>
              <w:rPr>
                <w:rFonts w:hint="eastAsia" w:ascii="Times New Roman" w:hAnsi="Times New Roman" w:cs="Times New Roman"/>
                <w:szCs w:val="21"/>
                <w:highlight w:val="none"/>
              </w:rPr>
              <w:t>比选人</w:t>
            </w:r>
            <w:r>
              <w:rPr>
                <w:rFonts w:ascii="Times New Roman" w:hAnsi="Times New Roman" w:cs="Times New Roman"/>
                <w:szCs w:val="21"/>
                <w:highlight w:val="none"/>
              </w:rPr>
              <w:t>提出附加条件，</w:t>
            </w:r>
            <w:r>
              <w:rPr>
                <w:rFonts w:hint="eastAsia" w:ascii="Times New Roman" w:hAnsi="Times New Roman" w:cs="Times New Roman"/>
                <w:szCs w:val="21"/>
                <w:highlight w:val="none"/>
              </w:rPr>
              <w:t>比选人</w:t>
            </w:r>
            <w:r>
              <w:rPr>
                <w:rFonts w:ascii="Times New Roman" w:hAnsi="Times New Roman" w:cs="Times New Roman"/>
                <w:szCs w:val="21"/>
                <w:highlight w:val="none"/>
              </w:rPr>
              <w:t>有权取消其</w:t>
            </w:r>
            <w:r>
              <w:rPr>
                <w:rFonts w:hint="eastAsia" w:ascii="Times New Roman" w:hAnsi="Times New Roman" w:cs="Times New Roman"/>
                <w:szCs w:val="21"/>
                <w:highlight w:val="none"/>
              </w:rPr>
              <w:t>中选</w:t>
            </w:r>
            <w:r>
              <w:rPr>
                <w:rFonts w:ascii="Times New Roman" w:hAnsi="Times New Roman" w:cs="Times New Roman"/>
                <w:szCs w:val="21"/>
                <w:highlight w:val="none"/>
              </w:rPr>
              <w:t>资格。</w:t>
            </w:r>
          </w:p>
        </w:tc>
      </w:tr>
      <w:tr w14:paraId="194AC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863" w:type="dxa"/>
            <w:vAlign w:val="center"/>
          </w:tcPr>
          <w:p w14:paraId="41B48A08">
            <w:pPr>
              <w:spacing w:line="360" w:lineRule="auto"/>
              <w:jc w:val="center"/>
              <w:rPr>
                <w:rFonts w:hint="default" w:ascii="Times New Roman" w:hAnsi="Times New Roman" w:eastAsia="宋体" w:cs="Times New Roman"/>
                <w:color w:val="000000"/>
                <w:szCs w:val="21"/>
                <w:highlight w:val="none"/>
                <w:lang w:val="en-US" w:eastAsia="zh-CN"/>
              </w:rPr>
            </w:pPr>
            <w:r>
              <w:rPr>
                <w:rFonts w:hint="eastAsia" w:ascii="Times New Roman" w:hAnsi="Times New Roman" w:cs="Times New Roman"/>
                <w:color w:val="000000"/>
                <w:szCs w:val="21"/>
                <w:highlight w:val="none"/>
                <w:lang w:val="en-US" w:eastAsia="zh-CN"/>
              </w:rPr>
              <w:t>42</w:t>
            </w:r>
          </w:p>
        </w:tc>
        <w:tc>
          <w:tcPr>
            <w:tcW w:w="1962" w:type="dxa"/>
            <w:vAlign w:val="center"/>
          </w:tcPr>
          <w:p w14:paraId="686F4B79">
            <w:pPr>
              <w:spacing w:line="360" w:lineRule="auto"/>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文件内容冲突的解决及优先适用次序</w:t>
            </w:r>
          </w:p>
        </w:tc>
        <w:tc>
          <w:tcPr>
            <w:tcW w:w="6895" w:type="dxa"/>
            <w:vAlign w:val="center"/>
          </w:tcPr>
          <w:p w14:paraId="3D43907D">
            <w:pPr>
              <w:numPr>
                <w:ilvl w:val="0"/>
                <w:numId w:val="4"/>
              </w:numPr>
              <w:spacing w:line="360" w:lineRule="auto"/>
              <w:rPr>
                <w:rFonts w:ascii="Times New Roman" w:hAnsi="Times New Roman" w:cs="Times New Roman"/>
                <w:szCs w:val="21"/>
                <w:highlight w:val="none"/>
              </w:rPr>
            </w:pPr>
            <w:r>
              <w:rPr>
                <w:rFonts w:hint="eastAsia" w:ascii="Times New Roman" w:hAnsi="Times New Roman" w:cs="Times New Roman"/>
                <w:szCs w:val="21"/>
                <w:highlight w:val="none"/>
              </w:rPr>
              <w:t>比选</w:t>
            </w:r>
            <w:r>
              <w:rPr>
                <w:rFonts w:ascii="Times New Roman" w:hAnsi="Times New Roman" w:cs="Times New Roman"/>
                <w:szCs w:val="21"/>
                <w:highlight w:val="none"/>
              </w:rPr>
              <w:t>文件中</w:t>
            </w:r>
            <w:r>
              <w:rPr>
                <w:rFonts w:hint="eastAsia" w:ascii="Times New Roman" w:hAnsi="Times New Roman" w:cs="Times New Roman"/>
                <w:szCs w:val="21"/>
                <w:highlight w:val="none"/>
              </w:rPr>
              <w:t>比选人</w:t>
            </w:r>
            <w:r>
              <w:rPr>
                <w:rFonts w:ascii="Times New Roman" w:hAnsi="Times New Roman" w:cs="Times New Roman"/>
                <w:szCs w:val="21"/>
                <w:highlight w:val="none"/>
              </w:rPr>
              <w:t>编制的内容前后有矛盾或不一致，有时间先后顺序的，以时间在后的修改、澄清或补正文件为准；没有时间先后顺序的，以公平的原则进行处理。</w:t>
            </w:r>
          </w:p>
          <w:p w14:paraId="2AB21C8C">
            <w:pPr>
              <w:numPr>
                <w:ilvl w:val="0"/>
                <w:numId w:val="4"/>
              </w:numPr>
              <w:spacing w:line="360" w:lineRule="auto"/>
              <w:rPr>
                <w:rFonts w:ascii="Times New Roman" w:hAnsi="Times New Roman" w:cs="Times New Roman"/>
                <w:szCs w:val="21"/>
                <w:highlight w:val="none"/>
              </w:rPr>
            </w:pPr>
            <w:r>
              <w:rPr>
                <w:rFonts w:hint="eastAsia" w:ascii="Times New Roman" w:hAnsi="Times New Roman" w:cs="Times New Roman"/>
                <w:szCs w:val="21"/>
                <w:highlight w:val="none"/>
              </w:rPr>
              <w:t>比选申请人</w:t>
            </w:r>
            <w:r>
              <w:rPr>
                <w:rFonts w:ascii="Times New Roman" w:hAnsi="Times New Roman" w:cs="Times New Roman"/>
                <w:szCs w:val="21"/>
                <w:highlight w:val="none"/>
              </w:rPr>
              <w:t>须知前附表和</w:t>
            </w:r>
            <w:r>
              <w:rPr>
                <w:rFonts w:hint="eastAsia" w:ascii="Times New Roman" w:hAnsi="Times New Roman" w:cs="Times New Roman"/>
                <w:szCs w:val="21"/>
                <w:highlight w:val="none"/>
              </w:rPr>
              <w:t>比选</w:t>
            </w:r>
            <w:r>
              <w:rPr>
                <w:rFonts w:ascii="Times New Roman" w:hAnsi="Times New Roman" w:cs="Times New Roman"/>
                <w:szCs w:val="21"/>
                <w:highlight w:val="none"/>
              </w:rPr>
              <w:t>文件中“注”的内容与正文不一致时，以</w:t>
            </w:r>
            <w:r>
              <w:rPr>
                <w:rFonts w:hint="eastAsia" w:ascii="Times New Roman" w:hAnsi="Times New Roman" w:cs="Times New Roman"/>
                <w:szCs w:val="21"/>
                <w:highlight w:val="none"/>
              </w:rPr>
              <w:t>比选申请人</w:t>
            </w:r>
            <w:r>
              <w:rPr>
                <w:rFonts w:ascii="Times New Roman" w:hAnsi="Times New Roman" w:cs="Times New Roman"/>
                <w:szCs w:val="21"/>
                <w:highlight w:val="none"/>
              </w:rPr>
              <w:t>须知前附表和</w:t>
            </w:r>
            <w:r>
              <w:rPr>
                <w:rFonts w:hint="eastAsia" w:ascii="Times New Roman" w:hAnsi="Times New Roman" w:cs="Times New Roman"/>
                <w:szCs w:val="21"/>
                <w:highlight w:val="none"/>
              </w:rPr>
              <w:t>比选</w:t>
            </w:r>
            <w:r>
              <w:rPr>
                <w:rFonts w:ascii="Times New Roman" w:hAnsi="Times New Roman" w:cs="Times New Roman"/>
                <w:szCs w:val="21"/>
                <w:highlight w:val="none"/>
              </w:rPr>
              <w:t>文件中“注”的内容为准。</w:t>
            </w:r>
          </w:p>
          <w:p w14:paraId="30CCC7B7">
            <w:pPr>
              <w:spacing w:line="360" w:lineRule="auto"/>
              <w:rPr>
                <w:rFonts w:ascii="Times New Roman" w:hAnsi="Times New Roman" w:cs="Times New Roman"/>
                <w:color w:val="000000"/>
                <w:szCs w:val="21"/>
                <w:highlight w:val="none"/>
              </w:rPr>
            </w:pPr>
            <w:r>
              <w:rPr>
                <w:rFonts w:ascii="Times New Roman" w:hAnsi="Times New Roman" w:cs="Times New Roman"/>
                <w:szCs w:val="21"/>
                <w:highlight w:val="none"/>
              </w:rPr>
              <w:t>3、对</w:t>
            </w:r>
            <w:r>
              <w:rPr>
                <w:rFonts w:hint="eastAsia" w:ascii="Times New Roman" w:hAnsi="Times New Roman" w:cs="Times New Roman"/>
                <w:szCs w:val="21"/>
                <w:highlight w:val="none"/>
              </w:rPr>
              <w:t>比选</w:t>
            </w:r>
            <w:r>
              <w:rPr>
                <w:rFonts w:ascii="Times New Roman" w:hAnsi="Times New Roman" w:cs="Times New Roman"/>
                <w:szCs w:val="21"/>
                <w:highlight w:val="none"/>
              </w:rPr>
              <w:t>文件的内容理解有争议的，由</w:t>
            </w:r>
            <w:r>
              <w:rPr>
                <w:rFonts w:hint="eastAsia" w:ascii="Times New Roman" w:hAnsi="Times New Roman" w:cs="Times New Roman"/>
                <w:szCs w:val="21"/>
                <w:highlight w:val="none"/>
              </w:rPr>
              <w:t>比选人</w:t>
            </w:r>
            <w:r>
              <w:rPr>
                <w:rFonts w:ascii="Times New Roman" w:hAnsi="Times New Roman" w:cs="Times New Roman"/>
                <w:szCs w:val="21"/>
                <w:highlight w:val="none"/>
              </w:rPr>
              <w:t>按照</w:t>
            </w:r>
            <w:r>
              <w:rPr>
                <w:rFonts w:hint="eastAsia" w:ascii="Times New Roman" w:hAnsi="Times New Roman" w:cs="Times New Roman"/>
                <w:szCs w:val="21"/>
                <w:highlight w:val="none"/>
              </w:rPr>
              <w:t>比选</w:t>
            </w:r>
            <w:r>
              <w:rPr>
                <w:rFonts w:ascii="Times New Roman" w:hAnsi="Times New Roman" w:cs="Times New Roman"/>
                <w:szCs w:val="21"/>
                <w:highlight w:val="none"/>
              </w:rPr>
              <w:t>文件所使用的词句、</w:t>
            </w:r>
            <w:r>
              <w:rPr>
                <w:rFonts w:hint="eastAsia" w:ascii="Times New Roman" w:hAnsi="Times New Roman" w:cs="Times New Roman"/>
                <w:szCs w:val="21"/>
                <w:highlight w:val="none"/>
              </w:rPr>
              <w:t>比选</w:t>
            </w:r>
            <w:r>
              <w:rPr>
                <w:rFonts w:ascii="Times New Roman" w:hAnsi="Times New Roman" w:cs="Times New Roman"/>
                <w:szCs w:val="21"/>
                <w:highlight w:val="none"/>
              </w:rPr>
              <w:t>文件的有关条款、</w:t>
            </w:r>
            <w:r>
              <w:rPr>
                <w:rFonts w:hint="eastAsia" w:ascii="Times New Roman" w:hAnsi="Times New Roman" w:cs="Times New Roman"/>
                <w:szCs w:val="21"/>
                <w:highlight w:val="none"/>
              </w:rPr>
              <w:t>比选</w:t>
            </w:r>
            <w:r>
              <w:rPr>
                <w:rFonts w:ascii="Times New Roman" w:hAnsi="Times New Roman" w:cs="Times New Roman"/>
                <w:szCs w:val="21"/>
                <w:highlight w:val="none"/>
              </w:rPr>
              <w:t>的目的、习惯以及诚实信用原则，确定该条款的真实意思，有两种以上解释的，作出不利于</w:t>
            </w:r>
            <w:r>
              <w:rPr>
                <w:rFonts w:hint="eastAsia" w:ascii="Times New Roman" w:hAnsi="Times New Roman" w:cs="Times New Roman"/>
                <w:szCs w:val="21"/>
                <w:highlight w:val="none"/>
              </w:rPr>
              <w:t>比选申请人</w:t>
            </w:r>
            <w:r>
              <w:rPr>
                <w:rFonts w:ascii="Times New Roman" w:hAnsi="Times New Roman" w:cs="Times New Roman"/>
                <w:szCs w:val="21"/>
                <w:highlight w:val="none"/>
              </w:rPr>
              <w:t>一方的解释。</w:t>
            </w:r>
          </w:p>
        </w:tc>
      </w:tr>
      <w:tr w14:paraId="1D9C1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3" w:type="dxa"/>
            <w:vMerge w:val="restart"/>
            <w:vAlign w:val="center"/>
          </w:tcPr>
          <w:p w14:paraId="3A22F8E9">
            <w:pPr>
              <w:spacing w:line="360" w:lineRule="auto"/>
              <w:jc w:val="center"/>
              <w:rPr>
                <w:rFonts w:hint="default" w:ascii="Times New Roman" w:hAnsi="Times New Roman" w:eastAsia="宋体" w:cs="Times New Roman"/>
                <w:b/>
                <w:color w:val="000000"/>
                <w:szCs w:val="21"/>
                <w:highlight w:val="none"/>
                <w:lang w:val="en-US" w:eastAsia="zh-CN"/>
              </w:rPr>
            </w:pPr>
            <w:r>
              <w:rPr>
                <w:rFonts w:hint="eastAsia" w:ascii="Times New Roman" w:hAnsi="Times New Roman" w:cs="Times New Roman"/>
                <w:bCs/>
                <w:color w:val="000000"/>
                <w:szCs w:val="21"/>
                <w:highlight w:val="none"/>
                <w:lang w:val="en-US" w:eastAsia="zh-CN"/>
              </w:rPr>
              <w:t>43</w:t>
            </w:r>
          </w:p>
        </w:tc>
        <w:tc>
          <w:tcPr>
            <w:tcW w:w="1962" w:type="dxa"/>
            <w:vMerge w:val="restart"/>
            <w:vAlign w:val="center"/>
          </w:tcPr>
          <w:p w14:paraId="54AAC4B8">
            <w:pPr>
              <w:pStyle w:val="9"/>
              <w:spacing w:line="360" w:lineRule="auto"/>
              <w:ind w:left="0" w:leftChars="0" w:firstLine="411" w:firstLineChars="196"/>
              <w:rPr>
                <w:b/>
                <w:color w:val="000000"/>
                <w:spacing w:val="-6"/>
                <w:szCs w:val="21"/>
                <w:highlight w:val="none"/>
              </w:rPr>
            </w:pPr>
            <w:r>
              <w:rPr>
                <w:b/>
                <w:color w:val="000000"/>
                <w:szCs w:val="21"/>
                <w:highlight w:val="none"/>
              </w:rPr>
              <w:t>特别注意</w:t>
            </w:r>
          </w:p>
        </w:tc>
        <w:tc>
          <w:tcPr>
            <w:tcW w:w="6895" w:type="dxa"/>
            <w:vAlign w:val="center"/>
          </w:tcPr>
          <w:p w14:paraId="4D99987A">
            <w:pPr>
              <w:spacing w:line="360" w:lineRule="auto"/>
              <w:ind w:right="149" w:rightChars="71"/>
              <w:rPr>
                <w:rFonts w:ascii="Times New Roman" w:hAnsi="Times New Roman" w:cs="Times New Roman"/>
                <w:bCs/>
                <w:color w:val="000000"/>
                <w:szCs w:val="21"/>
                <w:highlight w:val="none"/>
              </w:rPr>
            </w:pPr>
            <w:r>
              <w:rPr>
                <w:rFonts w:ascii="Times New Roman" w:hAnsi="Times New Roman" w:cs="Times New Roman"/>
                <w:bCs/>
                <w:color w:val="000000"/>
                <w:szCs w:val="21"/>
                <w:highlight w:val="none"/>
              </w:rPr>
              <w:t>如本</w:t>
            </w:r>
            <w:r>
              <w:rPr>
                <w:rFonts w:hint="eastAsia" w:ascii="Times New Roman" w:hAnsi="Times New Roman" w:cs="Times New Roman"/>
                <w:bCs/>
                <w:color w:val="000000"/>
                <w:szCs w:val="21"/>
                <w:highlight w:val="none"/>
              </w:rPr>
              <w:t>比选</w:t>
            </w:r>
            <w:r>
              <w:rPr>
                <w:rFonts w:ascii="Times New Roman" w:hAnsi="Times New Roman" w:cs="Times New Roman"/>
                <w:bCs/>
                <w:color w:val="000000"/>
                <w:szCs w:val="21"/>
                <w:highlight w:val="none"/>
              </w:rPr>
              <w:t>文件</w:t>
            </w:r>
            <w:r>
              <w:rPr>
                <w:rFonts w:hint="eastAsia" w:ascii="Times New Roman" w:hAnsi="Times New Roman" w:cs="Times New Roman"/>
                <w:bCs/>
                <w:color w:val="000000"/>
                <w:szCs w:val="21"/>
                <w:highlight w:val="none"/>
              </w:rPr>
              <w:t>比选申请人</w:t>
            </w:r>
            <w:r>
              <w:rPr>
                <w:rFonts w:ascii="Times New Roman" w:hAnsi="Times New Roman" w:cs="Times New Roman"/>
                <w:bCs/>
                <w:color w:val="000000"/>
                <w:szCs w:val="21"/>
                <w:highlight w:val="none"/>
              </w:rPr>
              <w:t>须知前附表所述内容与</w:t>
            </w:r>
            <w:r>
              <w:rPr>
                <w:rFonts w:hint="eastAsia" w:ascii="Times New Roman" w:hAnsi="Times New Roman" w:cs="Times New Roman"/>
                <w:bCs/>
                <w:color w:val="000000"/>
                <w:szCs w:val="21"/>
                <w:highlight w:val="none"/>
              </w:rPr>
              <w:t>比选</w:t>
            </w:r>
            <w:r>
              <w:rPr>
                <w:rFonts w:ascii="Times New Roman" w:hAnsi="Times New Roman" w:cs="Times New Roman"/>
                <w:bCs/>
                <w:color w:val="000000"/>
                <w:szCs w:val="21"/>
                <w:highlight w:val="none"/>
              </w:rPr>
              <w:t>文件</w:t>
            </w:r>
            <w:r>
              <w:rPr>
                <w:rFonts w:hint="eastAsia" w:ascii="Times New Roman" w:hAnsi="Times New Roman" w:cs="Times New Roman"/>
                <w:bCs/>
                <w:color w:val="000000"/>
                <w:szCs w:val="21"/>
                <w:highlight w:val="none"/>
              </w:rPr>
              <w:t>比选申请人</w:t>
            </w:r>
            <w:r>
              <w:rPr>
                <w:rFonts w:ascii="Times New Roman" w:hAnsi="Times New Roman" w:cs="Times New Roman"/>
                <w:bCs/>
                <w:color w:val="000000"/>
                <w:szCs w:val="21"/>
                <w:highlight w:val="none"/>
              </w:rPr>
              <w:t>须知正文部分所述内容不一致或</w:t>
            </w:r>
            <w:r>
              <w:rPr>
                <w:rFonts w:hint="eastAsia" w:ascii="Times New Roman" w:hAnsi="Times New Roman" w:cs="Times New Roman"/>
                <w:bCs/>
                <w:color w:val="000000"/>
                <w:szCs w:val="21"/>
                <w:highlight w:val="none"/>
              </w:rPr>
              <w:t>比选</w:t>
            </w:r>
            <w:r>
              <w:rPr>
                <w:rFonts w:ascii="Times New Roman" w:hAnsi="Times New Roman" w:cs="Times New Roman"/>
                <w:bCs/>
                <w:color w:val="000000"/>
                <w:szCs w:val="21"/>
                <w:highlight w:val="none"/>
              </w:rPr>
              <w:t>文件</w:t>
            </w:r>
            <w:r>
              <w:rPr>
                <w:rFonts w:hint="eastAsia" w:ascii="Times New Roman" w:hAnsi="Times New Roman" w:cs="Times New Roman"/>
                <w:bCs/>
                <w:color w:val="000000"/>
                <w:szCs w:val="21"/>
                <w:highlight w:val="none"/>
              </w:rPr>
              <w:t>比选申请人</w:t>
            </w:r>
            <w:r>
              <w:rPr>
                <w:rFonts w:ascii="Times New Roman" w:hAnsi="Times New Roman" w:cs="Times New Roman"/>
                <w:bCs/>
                <w:color w:val="000000"/>
                <w:szCs w:val="21"/>
                <w:highlight w:val="none"/>
              </w:rPr>
              <w:t>须知正文部分中表述不明时，以</w:t>
            </w:r>
            <w:r>
              <w:rPr>
                <w:rFonts w:hint="eastAsia" w:ascii="Times New Roman" w:hAnsi="Times New Roman" w:cs="Times New Roman"/>
                <w:bCs/>
                <w:color w:val="000000"/>
                <w:szCs w:val="21"/>
                <w:highlight w:val="none"/>
              </w:rPr>
              <w:t>比选申请人</w:t>
            </w:r>
            <w:r>
              <w:rPr>
                <w:rFonts w:ascii="Times New Roman" w:hAnsi="Times New Roman" w:cs="Times New Roman"/>
                <w:bCs/>
                <w:color w:val="000000"/>
                <w:szCs w:val="21"/>
                <w:highlight w:val="none"/>
              </w:rPr>
              <w:t>须知前附表的所述内容为准。</w:t>
            </w:r>
          </w:p>
        </w:tc>
      </w:tr>
      <w:tr w14:paraId="4EA74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863" w:type="dxa"/>
            <w:vMerge w:val="continue"/>
            <w:vAlign w:val="center"/>
          </w:tcPr>
          <w:p w14:paraId="4415AF38">
            <w:pPr>
              <w:spacing w:line="360" w:lineRule="auto"/>
              <w:jc w:val="center"/>
              <w:rPr>
                <w:rFonts w:ascii="Times New Roman" w:hAnsi="Times New Roman" w:cs="Times New Roman"/>
                <w:b/>
                <w:color w:val="000000"/>
                <w:szCs w:val="21"/>
                <w:highlight w:val="none"/>
              </w:rPr>
            </w:pPr>
          </w:p>
        </w:tc>
        <w:tc>
          <w:tcPr>
            <w:tcW w:w="1962" w:type="dxa"/>
            <w:vMerge w:val="continue"/>
            <w:vAlign w:val="center"/>
          </w:tcPr>
          <w:p w14:paraId="25269B69">
            <w:pPr>
              <w:pStyle w:val="9"/>
              <w:spacing w:line="360" w:lineRule="auto"/>
              <w:ind w:left="0" w:leftChars="0" w:firstLine="411" w:firstLineChars="196"/>
              <w:jc w:val="center"/>
              <w:rPr>
                <w:b/>
                <w:color w:val="000000"/>
                <w:szCs w:val="21"/>
                <w:highlight w:val="none"/>
              </w:rPr>
            </w:pPr>
          </w:p>
        </w:tc>
        <w:tc>
          <w:tcPr>
            <w:tcW w:w="6895" w:type="dxa"/>
            <w:vAlign w:val="center"/>
          </w:tcPr>
          <w:p w14:paraId="689C78F8">
            <w:pPr>
              <w:spacing w:line="360" w:lineRule="auto"/>
              <w:ind w:right="149" w:rightChars="71"/>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比选</w:t>
            </w:r>
            <w:r>
              <w:rPr>
                <w:rFonts w:ascii="Times New Roman" w:hAnsi="Times New Roman" w:cs="Times New Roman"/>
                <w:bCs/>
                <w:color w:val="000000"/>
                <w:szCs w:val="21"/>
                <w:highlight w:val="none"/>
              </w:rPr>
              <w:t>文件中 “★”号条款为</w:t>
            </w:r>
            <w:r>
              <w:rPr>
                <w:rFonts w:hint="eastAsia" w:ascii="Times New Roman" w:hAnsi="Times New Roman" w:cs="Times New Roman"/>
                <w:bCs/>
                <w:color w:val="000000"/>
                <w:szCs w:val="21"/>
                <w:highlight w:val="none"/>
              </w:rPr>
              <w:t>比选</w:t>
            </w:r>
            <w:r>
              <w:rPr>
                <w:rFonts w:ascii="Times New Roman" w:hAnsi="Times New Roman" w:cs="Times New Roman"/>
                <w:bCs/>
                <w:color w:val="000000"/>
                <w:szCs w:val="21"/>
                <w:highlight w:val="none"/>
              </w:rPr>
              <w:t>文件规定的实质性要求。未实质性响应</w:t>
            </w:r>
            <w:r>
              <w:rPr>
                <w:rFonts w:hint="eastAsia" w:ascii="Times New Roman" w:hAnsi="Times New Roman" w:cs="Times New Roman"/>
                <w:bCs/>
                <w:color w:val="000000"/>
                <w:szCs w:val="21"/>
                <w:highlight w:val="none"/>
              </w:rPr>
              <w:t>比选</w:t>
            </w:r>
            <w:r>
              <w:rPr>
                <w:rFonts w:ascii="Times New Roman" w:hAnsi="Times New Roman" w:cs="Times New Roman"/>
                <w:bCs/>
                <w:color w:val="000000"/>
                <w:szCs w:val="21"/>
                <w:highlight w:val="none"/>
              </w:rPr>
              <w:t>文件中 “★”号条款，视为重大偏差（报价详细评审的重大偏差另行约定），</w:t>
            </w:r>
            <w:r>
              <w:rPr>
                <w:rFonts w:hint="eastAsia" w:ascii="Times New Roman" w:hAnsi="Times New Roman" w:cs="Times New Roman"/>
                <w:bCs/>
                <w:color w:val="000000"/>
                <w:szCs w:val="21"/>
                <w:highlight w:val="none"/>
              </w:rPr>
              <w:t>比选申请文件</w:t>
            </w:r>
            <w:r>
              <w:rPr>
                <w:rFonts w:ascii="Times New Roman" w:hAnsi="Times New Roman" w:cs="Times New Roman"/>
                <w:bCs/>
                <w:color w:val="000000"/>
                <w:szCs w:val="21"/>
                <w:highlight w:val="none"/>
              </w:rPr>
              <w:t>无效。</w:t>
            </w:r>
          </w:p>
        </w:tc>
      </w:tr>
      <w:tr w14:paraId="23D9A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863" w:type="dxa"/>
            <w:vAlign w:val="center"/>
          </w:tcPr>
          <w:p w14:paraId="287FCB1C">
            <w:pPr>
              <w:tabs>
                <w:tab w:val="center" w:pos="1080"/>
                <w:tab w:val="left" w:pos="5220"/>
                <w:tab w:val="left" w:pos="5400"/>
                <w:tab w:val="left" w:pos="5580"/>
              </w:tabs>
              <w:autoSpaceDE w:val="0"/>
              <w:autoSpaceDN w:val="0"/>
              <w:adjustRightInd w:val="0"/>
              <w:spacing w:line="320" w:lineRule="exact"/>
              <w:jc w:val="center"/>
              <w:rPr>
                <w:rFonts w:ascii="Times New Roman" w:hAnsi="Times New Roman" w:cs="Times New Roman"/>
                <w:kern w:val="0"/>
                <w:sz w:val="20"/>
                <w:szCs w:val="20"/>
                <w:highlight w:val="none"/>
              </w:rPr>
            </w:pPr>
            <w:r>
              <w:rPr>
                <w:rFonts w:hint="eastAsia" w:ascii="Times New Roman" w:hAnsi="Times New Roman" w:cs="Times New Roman"/>
                <w:kern w:val="0"/>
                <w:sz w:val="20"/>
                <w:szCs w:val="20"/>
                <w:highlight w:val="none"/>
              </w:rPr>
              <w:t>4</w:t>
            </w:r>
            <w:r>
              <w:rPr>
                <w:rFonts w:hint="eastAsia" w:ascii="Times New Roman" w:hAnsi="Times New Roman" w:cs="Times New Roman"/>
                <w:kern w:val="0"/>
                <w:sz w:val="20"/>
                <w:szCs w:val="20"/>
                <w:highlight w:val="none"/>
                <w:lang w:val="en-US" w:eastAsia="zh-CN"/>
              </w:rPr>
              <w:t>4</w:t>
            </w:r>
          </w:p>
        </w:tc>
        <w:tc>
          <w:tcPr>
            <w:tcW w:w="1962" w:type="dxa"/>
            <w:vAlign w:val="center"/>
          </w:tcPr>
          <w:p w14:paraId="7850E5EF">
            <w:pPr>
              <w:pStyle w:val="11"/>
              <w:spacing w:line="340" w:lineRule="exact"/>
              <w:jc w:val="center"/>
              <w:rPr>
                <w:rFonts w:ascii="Times New Roman" w:hAnsi="Times New Roman" w:cs="Times New Roman"/>
                <w:bCs/>
                <w:color w:val="000000"/>
                <w:highlight w:val="none"/>
              </w:rPr>
            </w:pPr>
            <w:r>
              <w:rPr>
                <w:rFonts w:ascii="Times New Roman" w:hAnsi="Times New Roman" w:cs="Times New Roman"/>
                <w:bCs/>
                <w:color w:val="000000"/>
                <w:highlight w:val="none"/>
              </w:rPr>
              <w:t>监督部门</w:t>
            </w:r>
          </w:p>
        </w:tc>
        <w:tc>
          <w:tcPr>
            <w:tcW w:w="6895" w:type="dxa"/>
            <w:vAlign w:val="center"/>
          </w:tcPr>
          <w:p w14:paraId="614FF043">
            <w:pPr>
              <w:pStyle w:val="11"/>
              <w:spacing w:line="360" w:lineRule="auto"/>
              <w:rPr>
                <w:rFonts w:ascii="Times New Roman" w:hAnsi="Times New Roman" w:cs="Times New Roman"/>
                <w:bCs/>
                <w:color w:val="000000"/>
                <w:highlight w:val="none"/>
              </w:rPr>
            </w:pPr>
            <w:r>
              <w:rPr>
                <w:rFonts w:ascii="Times New Roman" w:hAnsi="Times New Roman" w:cs="Times New Roman"/>
                <w:bCs/>
                <w:color w:val="000000"/>
                <w:highlight w:val="none"/>
              </w:rPr>
              <w:t>四川蜀道新能源科技发展有限公司</w:t>
            </w:r>
            <w:r>
              <w:rPr>
                <w:rFonts w:hint="eastAsia" w:ascii="Times New Roman" w:hAnsi="Times New Roman" w:cs="Times New Roman"/>
                <w:bCs/>
                <w:color w:val="000000"/>
                <w:highlight w:val="none"/>
              </w:rPr>
              <w:t>招标</w:t>
            </w:r>
            <w:r>
              <w:rPr>
                <w:rFonts w:hint="eastAsia" w:ascii="Times New Roman" w:hAnsi="Times New Roman" w:cs="Times New Roman"/>
                <w:bCs/>
                <w:color w:val="000000"/>
                <w:highlight w:val="none"/>
                <w:lang w:eastAsia="zh-CN"/>
              </w:rPr>
              <w:t>工作</w:t>
            </w:r>
            <w:r>
              <w:rPr>
                <w:rFonts w:hint="eastAsia" w:ascii="Times New Roman" w:hAnsi="Times New Roman" w:cs="Times New Roman"/>
                <w:bCs/>
                <w:color w:val="000000"/>
                <w:highlight w:val="none"/>
              </w:rPr>
              <w:t>领导小组</w:t>
            </w:r>
          </w:p>
          <w:p w14:paraId="0C8B7698">
            <w:pPr>
              <w:pStyle w:val="11"/>
              <w:spacing w:line="360" w:lineRule="auto"/>
              <w:rPr>
                <w:rFonts w:ascii="Times New Roman" w:hAnsi="Times New Roman" w:cs="Times New Roman"/>
                <w:bCs/>
                <w:color w:val="000000"/>
                <w:highlight w:val="none"/>
              </w:rPr>
            </w:pPr>
            <w:r>
              <w:rPr>
                <w:rFonts w:ascii="Times New Roman" w:hAnsi="Times New Roman" w:cs="Times New Roman"/>
                <w:bCs/>
                <w:color w:val="000000"/>
                <w:highlight w:val="none"/>
              </w:rPr>
              <w:t>地    址：成都市创业路1号剑恒发展中心14楼</w:t>
            </w:r>
          </w:p>
          <w:p w14:paraId="4FC60F38">
            <w:pPr>
              <w:pStyle w:val="11"/>
              <w:spacing w:line="360" w:lineRule="auto"/>
              <w:rPr>
                <w:rFonts w:ascii="Times New Roman" w:hAnsi="Times New Roman" w:cs="Times New Roman"/>
                <w:bCs/>
                <w:color w:val="000000"/>
                <w:highlight w:val="none"/>
              </w:rPr>
            </w:pPr>
            <w:r>
              <w:rPr>
                <w:rFonts w:ascii="Times New Roman" w:hAnsi="Times New Roman" w:cs="Times New Roman"/>
                <w:bCs/>
                <w:color w:val="000000"/>
                <w:highlight w:val="none"/>
              </w:rPr>
              <w:t>电    话：</w:t>
            </w:r>
            <w:r>
              <w:rPr>
                <w:rFonts w:hint="eastAsia" w:ascii="Times New Roman" w:hAnsi="Times New Roman" w:cs="Times New Roman"/>
                <w:bCs/>
                <w:color w:val="000000"/>
                <w:highlight w:val="none"/>
              </w:rPr>
              <w:t>028-</w:t>
            </w:r>
            <w:r>
              <w:rPr>
                <w:rFonts w:hint="eastAsia" w:ascii="Times New Roman" w:hAnsi="Times New Roman" w:cs="Times New Roman"/>
                <w:bCs/>
                <w:color w:val="000000"/>
                <w:highlight w:val="none"/>
                <w:lang w:eastAsia="zh-CN"/>
              </w:rPr>
              <w:t>61520906</w:t>
            </w:r>
          </w:p>
          <w:p w14:paraId="4ECD5506">
            <w:pPr>
              <w:pStyle w:val="11"/>
              <w:spacing w:line="360" w:lineRule="auto"/>
              <w:rPr>
                <w:rFonts w:ascii="Times New Roman" w:hAnsi="Times New Roman" w:cs="Times New Roman"/>
                <w:bCs/>
                <w:color w:val="000000"/>
                <w:highlight w:val="none"/>
              </w:rPr>
            </w:pPr>
            <w:r>
              <w:rPr>
                <w:rFonts w:hint="eastAsia" w:ascii="Times New Roman" w:hAnsi="Times New Roman" w:cs="Times New Roman"/>
                <w:bCs/>
                <w:color w:val="000000"/>
                <w:highlight w:val="none"/>
              </w:rPr>
              <w:t>比选申请人</w:t>
            </w:r>
            <w:r>
              <w:rPr>
                <w:rFonts w:ascii="Times New Roman" w:hAnsi="Times New Roman" w:cs="Times New Roman"/>
                <w:bCs/>
                <w:color w:val="000000"/>
                <w:highlight w:val="none"/>
              </w:rPr>
              <w:t>或者其他利害关系人对</w:t>
            </w:r>
            <w:r>
              <w:rPr>
                <w:rFonts w:hint="eastAsia" w:ascii="Times New Roman" w:hAnsi="Times New Roman" w:cs="Times New Roman"/>
                <w:bCs/>
                <w:color w:val="000000"/>
                <w:highlight w:val="none"/>
                <w:lang w:eastAsia="zh-CN"/>
              </w:rPr>
              <w:t>评审</w:t>
            </w:r>
            <w:r>
              <w:rPr>
                <w:rFonts w:ascii="Times New Roman" w:hAnsi="Times New Roman" w:cs="Times New Roman"/>
                <w:bCs/>
                <w:color w:val="000000"/>
                <w:highlight w:val="none"/>
              </w:rPr>
              <w:t>结果有异议需要投诉的，应当在</w:t>
            </w:r>
            <w:r>
              <w:rPr>
                <w:rFonts w:hint="eastAsia" w:ascii="Times New Roman" w:hAnsi="Times New Roman" w:cs="Times New Roman"/>
                <w:bCs/>
                <w:color w:val="000000"/>
                <w:highlight w:val="none"/>
              </w:rPr>
              <w:t>中选</w:t>
            </w:r>
            <w:r>
              <w:rPr>
                <w:rFonts w:ascii="Times New Roman" w:hAnsi="Times New Roman" w:cs="Times New Roman"/>
                <w:bCs/>
                <w:color w:val="000000"/>
                <w:highlight w:val="none"/>
              </w:rPr>
              <w:t>候选人公示期间提出，公示时间结束后不予受理。</w:t>
            </w:r>
          </w:p>
        </w:tc>
      </w:tr>
    </w:tbl>
    <w:p w14:paraId="338FD16C">
      <w:pPr>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br w:type="page"/>
      </w:r>
    </w:p>
    <w:p w14:paraId="4E3E0F0A">
      <w:pPr>
        <w:spacing w:line="360" w:lineRule="auto"/>
        <w:outlineLvl w:val="0"/>
        <w:rPr>
          <w:rFonts w:ascii="Times New Roman" w:hAnsi="Times New Roman" w:cs="Times New Roman"/>
          <w:b/>
          <w:color w:val="000000"/>
          <w:szCs w:val="21"/>
          <w:highlight w:val="none"/>
        </w:rPr>
      </w:pPr>
      <w:bookmarkStart w:id="17" w:name="_Toc27269"/>
      <w:r>
        <w:rPr>
          <w:rFonts w:ascii="Times New Roman" w:hAnsi="Times New Roman" w:cs="Times New Roman"/>
          <w:b/>
          <w:color w:val="000000"/>
          <w:szCs w:val="21"/>
          <w:highlight w:val="none"/>
        </w:rPr>
        <w:t>1.总则</w:t>
      </w:r>
      <w:bookmarkEnd w:id="17"/>
    </w:p>
    <w:p w14:paraId="4A487DD3">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1.1 项目概况</w:t>
      </w:r>
    </w:p>
    <w:p w14:paraId="721E401D">
      <w:pPr>
        <w:snapToGrid w:val="0"/>
        <w:spacing w:line="360" w:lineRule="auto"/>
        <w:ind w:firstLine="420" w:firstLineChars="200"/>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1.1.1本比选文件仅适用于本次比选项目。</w:t>
      </w:r>
    </w:p>
    <w:p w14:paraId="733DC23E">
      <w:pPr>
        <w:snapToGrid w:val="0"/>
        <w:spacing w:line="360" w:lineRule="auto"/>
        <w:ind w:firstLine="420" w:firstLineChars="200"/>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1.1.2本比选项目比选人：见比选公告</w:t>
      </w:r>
    </w:p>
    <w:p w14:paraId="3184D956">
      <w:pPr>
        <w:snapToGrid w:val="0"/>
        <w:spacing w:line="360" w:lineRule="auto"/>
        <w:ind w:firstLine="420" w:firstLineChars="200"/>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1.1.3本比选项目名称：见比选申请人须知前附表。</w:t>
      </w:r>
    </w:p>
    <w:p w14:paraId="0722CB35">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1.2 资金来源和落实情况</w:t>
      </w:r>
    </w:p>
    <w:p w14:paraId="7507ED59">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1.2.1 本项目的资金来源：见</w:t>
      </w:r>
      <w:r>
        <w:rPr>
          <w:rFonts w:hint="eastAsia" w:ascii="Times New Roman" w:hAnsi="Times New Roman" w:cs="Times New Roman"/>
          <w:color w:val="000000"/>
          <w:szCs w:val="21"/>
          <w:highlight w:val="none"/>
        </w:rPr>
        <w:t>比选公告</w:t>
      </w:r>
      <w:r>
        <w:rPr>
          <w:rFonts w:ascii="Times New Roman" w:hAnsi="Times New Roman" w:cs="Times New Roman"/>
          <w:color w:val="000000"/>
          <w:szCs w:val="21"/>
          <w:highlight w:val="none"/>
        </w:rPr>
        <w:t>。</w:t>
      </w:r>
    </w:p>
    <w:p w14:paraId="2DE7D89A">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1.2.2 本项目的出资比例：见</w:t>
      </w:r>
      <w:r>
        <w:rPr>
          <w:rFonts w:hint="eastAsia" w:ascii="Times New Roman" w:hAnsi="Times New Roman" w:cs="Times New Roman"/>
          <w:color w:val="000000"/>
          <w:szCs w:val="21"/>
          <w:highlight w:val="none"/>
        </w:rPr>
        <w:t>比选公告</w:t>
      </w:r>
      <w:r>
        <w:rPr>
          <w:rFonts w:ascii="Times New Roman" w:hAnsi="Times New Roman" w:cs="Times New Roman"/>
          <w:color w:val="000000"/>
          <w:szCs w:val="21"/>
          <w:highlight w:val="none"/>
        </w:rPr>
        <w:t>。</w:t>
      </w:r>
    </w:p>
    <w:p w14:paraId="3D495D30">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1.2.3 本项目的资金落实情况：见</w:t>
      </w:r>
      <w:r>
        <w:rPr>
          <w:rFonts w:hint="eastAsia" w:ascii="Times New Roman" w:hAnsi="Times New Roman" w:cs="Times New Roman"/>
          <w:color w:val="000000"/>
          <w:szCs w:val="21"/>
          <w:highlight w:val="none"/>
        </w:rPr>
        <w:t>比选公告</w:t>
      </w:r>
      <w:r>
        <w:rPr>
          <w:rFonts w:ascii="Times New Roman" w:hAnsi="Times New Roman" w:cs="Times New Roman"/>
          <w:color w:val="000000"/>
          <w:szCs w:val="21"/>
          <w:highlight w:val="none"/>
        </w:rPr>
        <w:t>。</w:t>
      </w:r>
    </w:p>
    <w:p w14:paraId="36EB676B">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 xml:space="preserve">1.3 </w:t>
      </w:r>
      <w:r>
        <w:rPr>
          <w:rFonts w:hint="eastAsia" w:ascii="Times New Roman" w:hAnsi="Times New Roman" w:cs="Times New Roman"/>
          <w:b/>
          <w:color w:val="000000"/>
          <w:szCs w:val="21"/>
          <w:highlight w:val="none"/>
        </w:rPr>
        <w:t>比选</w:t>
      </w:r>
      <w:r>
        <w:rPr>
          <w:rFonts w:ascii="Times New Roman" w:hAnsi="Times New Roman" w:cs="Times New Roman"/>
          <w:b/>
          <w:color w:val="000000"/>
          <w:szCs w:val="21"/>
          <w:highlight w:val="none"/>
        </w:rPr>
        <w:t>范围、计划工期和质量要求</w:t>
      </w:r>
    </w:p>
    <w:p w14:paraId="23F6FA53">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1.3.1 本次范围：见</w:t>
      </w:r>
      <w:r>
        <w:rPr>
          <w:rFonts w:hint="eastAsia" w:ascii="Times New Roman" w:hAnsi="Times New Roman" w:cs="Times New Roman"/>
          <w:color w:val="000000"/>
          <w:szCs w:val="21"/>
          <w:highlight w:val="none"/>
        </w:rPr>
        <w:t>比选公告</w:t>
      </w:r>
      <w:r>
        <w:rPr>
          <w:rFonts w:ascii="Times New Roman" w:hAnsi="Times New Roman" w:cs="Times New Roman"/>
          <w:color w:val="000000"/>
          <w:szCs w:val="21"/>
          <w:highlight w:val="none"/>
        </w:rPr>
        <w:t>。</w:t>
      </w:r>
    </w:p>
    <w:p w14:paraId="2A89A738">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1.3.2 本项目的计划工期：见</w:t>
      </w:r>
      <w:r>
        <w:rPr>
          <w:rFonts w:hint="eastAsia" w:ascii="Times New Roman" w:hAnsi="Times New Roman" w:cs="Times New Roman"/>
          <w:color w:val="000000"/>
          <w:szCs w:val="21"/>
          <w:highlight w:val="none"/>
        </w:rPr>
        <w:t>比选公告</w:t>
      </w:r>
      <w:r>
        <w:rPr>
          <w:rFonts w:ascii="Times New Roman" w:hAnsi="Times New Roman" w:cs="Times New Roman"/>
          <w:color w:val="000000"/>
          <w:szCs w:val="21"/>
          <w:highlight w:val="none"/>
        </w:rPr>
        <w:t>。</w:t>
      </w:r>
    </w:p>
    <w:p w14:paraId="1053DE7D">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1.3.3 本项目的质量要求：见</w:t>
      </w:r>
      <w:r>
        <w:rPr>
          <w:rFonts w:hint="eastAsia" w:ascii="Times New Roman" w:hAnsi="Times New Roman" w:cs="Times New Roman"/>
          <w:color w:val="000000"/>
          <w:szCs w:val="21"/>
          <w:highlight w:val="none"/>
        </w:rPr>
        <w:t>比选公告.</w:t>
      </w:r>
    </w:p>
    <w:p w14:paraId="4A88018E">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 xml:space="preserve">1.4 </w:t>
      </w:r>
      <w:r>
        <w:rPr>
          <w:rFonts w:hint="eastAsia" w:ascii="Times New Roman" w:hAnsi="Times New Roman" w:cs="Times New Roman"/>
          <w:b/>
          <w:bCs/>
          <w:color w:val="000000"/>
          <w:szCs w:val="21"/>
          <w:highlight w:val="none"/>
        </w:rPr>
        <w:t>比选申请人</w:t>
      </w:r>
      <w:r>
        <w:rPr>
          <w:rFonts w:ascii="Times New Roman" w:hAnsi="Times New Roman" w:cs="Times New Roman"/>
          <w:b/>
          <w:color w:val="000000"/>
          <w:szCs w:val="21"/>
          <w:highlight w:val="none"/>
        </w:rPr>
        <w:t>资格要求</w:t>
      </w:r>
    </w:p>
    <w:p w14:paraId="6EAAC279">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1.4.1 </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应具备承担本项目的资质条件、能力和信誉。</w:t>
      </w:r>
    </w:p>
    <w:p w14:paraId="218F3B0D">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(l)资质要求：见</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w:t>
      </w:r>
    </w:p>
    <w:p w14:paraId="58CAC9CC">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(2)财务要求：无；</w:t>
      </w:r>
    </w:p>
    <w:p w14:paraId="5B921525">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(3)业绩要求：见</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w:t>
      </w:r>
    </w:p>
    <w:p w14:paraId="766A36F0">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(4)信誉要求：见</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w:t>
      </w:r>
    </w:p>
    <w:p w14:paraId="66EB7B38">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(5)人员要求：见</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w:t>
      </w:r>
      <w:r>
        <w:rPr>
          <w:rFonts w:hint="eastAsia" w:ascii="Times New Roman" w:hAnsi="Times New Roman" w:cs="Times New Roman"/>
          <w:color w:val="000000"/>
          <w:szCs w:val="21"/>
          <w:highlight w:val="none"/>
        </w:rPr>
        <w:t>；</w:t>
      </w:r>
    </w:p>
    <w:p w14:paraId="75B947F7">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r>
        <w:rPr>
          <w:rFonts w:hint="eastAsia" w:ascii="Times New Roman" w:hAnsi="Times New Roman" w:cs="Times New Roman"/>
          <w:color w:val="000000"/>
          <w:szCs w:val="21"/>
          <w:highlight w:val="none"/>
          <w:lang w:val="en-US" w:eastAsia="zh-CN"/>
        </w:rPr>
        <w:t>6</w:t>
      </w:r>
      <w:r>
        <w:rPr>
          <w:rFonts w:ascii="Times New Roman" w:hAnsi="Times New Roman" w:cs="Times New Roman"/>
          <w:color w:val="000000"/>
          <w:szCs w:val="21"/>
          <w:highlight w:val="none"/>
        </w:rPr>
        <w:t>)</w:t>
      </w:r>
      <w:r>
        <w:rPr>
          <w:rFonts w:hint="eastAsia" w:ascii="Times New Roman" w:hAnsi="Times New Roman" w:cs="Times New Roman"/>
          <w:color w:val="000000"/>
          <w:szCs w:val="21"/>
          <w:highlight w:val="none"/>
          <w:lang w:eastAsia="zh-CN"/>
        </w:rPr>
        <w:t>其他要求</w:t>
      </w:r>
      <w:r>
        <w:rPr>
          <w:rFonts w:ascii="Times New Roman" w:hAnsi="Times New Roman" w:cs="Times New Roman"/>
          <w:color w:val="000000"/>
          <w:szCs w:val="21"/>
          <w:highlight w:val="none"/>
        </w:rPr>
        <w:t>：</w:t>
      </w:r>
      <w:r>
        <w:rPr>
          <w:rFonts w:hint="eastAsia" w:ascii="Times New Roman" w:hAnsi="Times New Roman" w:cs="Times New Roman"/>
          <w:color w:val="000000"/>
          <w:szCs w:val="21"/>
          <w:highlight w:val="none"/>
          <w:lang w:val="en-US" w:eastAsia="zh-CN"/>
        </w:rPr>
        <w:t>无</w:t>
      </w:r>
      <w:r>
        <w:rPr>
          <w:rFonts w:ascii="Times New Roman" w:hAnsi="Times New Roman" w:cs="Times New Roman"/>
          <w:color w:val="000000"/>
          <w:szCs w:val="21"/>
          <w:highlight w:val="none"/>
        </w:rPr>
        <w:t>。</w:t>
      </w:r>
    </w:p>
    <w:p w14:paraId="0803DF3A">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1.4.2</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须知前附表规定接受联合体</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的，除应符合本章第1.4.1项和</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须知前附表的要求外，还应遵守以下规定：</w:t>
      </w:r>
    </w:p>
    <w:p w14:paraId="77502390">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(1)联合体各方应按</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文件提供的格式签订联合体协议书，明确联合体牵头人和各方权利义务；</w:t>
      </w:r>
    </w:p>
    <w:p w14:paraId="4CC737B5">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(2)由同一专业的单位组成的联合体，按照资质等级较低的单位确定资质等级；</w:t>
      </w:r>
    </w:p>
    <w:p w14:paraId="551AAFC0">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(3)联合体各方不得再以自己名义单独或参加其他联合体在同一项目中</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w:t>
      </w:r>
    </w:p>
    <w:p w14:paraId="3943D35D">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1.4.3 </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不得存在下列情形之一：</w:t>
      </w:r>
    </w:p>
    <w:p w14:paraId="519C2CCB">
      <w:pPr>
        <w:spacing w:line="360" w:lineRule="auto"/>
        <w:ind w:firstLine="315" w:firstLineChars="150"/>
        <w:rPr>
          <w:rFonts w:ascii="Times New Roman" w:hAnsi="Times New Roman" w:cs="Times New Roman"/>
          <w:color w:val="000000"/>
          <w:highlight w:val="none"/>
        </w:rPr>
      </w:pPr>
      <w:r>
        <w:rPr>
          <w:rFonts w:ascii="Times New Roman" w:hAnsi="Times New Roman" w:cs="Times New Roman"/>
          <w:color w:val="000000"/>
          <w:highlight w:val="none"/>
        </w:rPr>
        <w:t>（1）为</w:t>
      </w:r>
      <w:r>
        <w:rPr>
          <w:rFonts w:hint="eastAsia" w:ascii="Times New Roman" w:hAnsi="Times New Roman" w:cs="Times New Roman"/>
          <w:color w:val="000000"/>
          <w:szCs w:val="21"/>
          <w:highlight w:val="none"/>
        </w:rPr>
        <w:t>比选人</w:t>
      </w:r>
      <w:r>
        <w:rPr>
          <w:rFonts w:ascii="Times New Roman" w:hAnsi="Times New Roman" w:cs="Times New Roman"/>
          <w:color w:val="000000"/>
          <w:highlight w:val="none"/>
        </w:rPr>
        <w:t>不具有独立法人资格的附属机构（单位）；</w:t>
      </w:r>
    </w:p>
    <w:p w14:paraId="0F2790DD">
      <w:pPr>
        <w:spacing w:line="360" w:lineRule="auto"/>
        <w:ind w:firstLine="315" w:firstLineChars="150"/>
        <w:rPr>
          <w:rFonts w:ascii="Times New Roman" w:hAnsi="Times New Roman" w:cs="Times New Roman"/>
          <w:color w:val="000000"/>
          <w:highlight w:val="none"/>
        </w:rPr>
      </w:pPr>
      <w:r>
        <w:rPr>
          <w:rFonts w:ascii="Times New Roman" w:hAnsi="Times New Roman" w:cs="Times New Roman"/>
          <w:color w:val="000000"/>
          <w:highlight w:val="none"/>
        </w:rPr>
        <w:t>（2）为本项目前期工作提供咨询服务的；</w:t>
      </w:r>
    </w:p>
    <w:p w14:paraId="7682940D">
      <w:pPr>
        <w:spacing w:line="360" w:lineRule="auto"/>
        <w:ind w:firstLine="315" w:firstLineChars="150"/>
        <w:rPr>
          <w:rFonts w:ascii="Times New Roman" w:hAnsi="Times New Roman" w:cs="Times New Roman"/>
          <w:color w:val="000000"/>
          <w:highlight w:val="none"/>
        </w:rPr>
      </w:pPr>
      <w:r>
        <w:rPr>
          <w:rFonts w:ascii="Times New Roman" w:hAnsi="Times New Roman" w:cs="Times New Roman"/>
          <w:color w:val="000000"/>
          <w:highlight w:val="none"/>
        </w:rPr>
        <w:t>（3）为本项目的监理人；</w:t>
      </w:r>
    </w:p>
    <w:p w14:paraId="776A1537">
      <w:pPr>
        <w:spacing w:line="360" w:lineRule="auto"/>
        <w:ind w:firstLine="315" w:firstLineChars="150"/>
        <w:rPr>
          <w:rFonts w:ascii="Times New Roman" w:hAnsi="Times New Roman" w:cs="Times New Roman"/>
          <w:color w:val="000000"/>
          <w:highlight w:val="none"/>
        </w:rPr>
      </w:pPr>
      <w:r>
        <w:rPr>
          <w:rFonts w:ascii="Times New Roman" w:hAnsi="Times New Roman" w:cs="Times New Roman"/>
          <w:color w:val="000000"/>
          <w:highlight w:val="none"/>
        </w:rPr>
        <w:t>（4）为本项目的代建人；</w:t>
      </w:r>
    </w:p>
    <w:p w14:paraId="53CA29C6">
      <w:pPr>
        <w:spacing w:line="360" w:lineRule="auto"/>
        <w:ind w:firstLine="315" w:firstLineChars="150"/>
        <w:rPr>
          <w:rFonts w:ascii="Times New Roman" w:hAnsi="Times New Roman" w:cs="Times New Roman"/>
          <w:color w:val="000000"/>
          <w:highlight w:val="none"/>
        </w:rPr>
      </w:pPr>
      <w:r>
        <w:rPr>
          <w:rFonts w:ascii="Times New Roman" w:hAnsi="Times New Roman" w:cs="Times New Roman"/>
          <w:color w:val="000000"/>
          <w:highlight w:val="none"/>
        </w:rPr>
        <w:t>（5）为本项目提供代理服务的；</w:t>
      </w:r>
    </w:p>
    <w:p w14:paraId="5128FCC5">
      <w:pPr>
        <w:spacing w:line="360" w:lineRule="auto"/>
        <w:ind w:firstLine="315" w:firstLineChars="150"/>
        <w:rPr>
          <w:rFonts w:ascii="Times New Roman" w:hAnsi="Times New Roman" w:cs="Times New Roman"/>
          <w:color w:val="000000"/>
          <w:highlight w:val="none"/>
        </w:rPr>
      </w:pPr>
      <w:r>
        <w:rPr>
          <w:rFonts w:ascii="Times New Roman" w:hAnsi="Times New Roman" w:cs="Times New Roman"/>
          <w:color w:val="000000"/>
          <w:highlight w:val="none"/>
        </w:rPr>
        <w:t>（6）被责令停业的；</w:t>
      </w:r>
    </w:p>
    <w:p w14:paraId="7CC7A0D2">
      <w:pPr>
        <w:spacing w:line="360" w:lineRule="auto"/>
        <w:ind w:firstLine="315" w:firstLineChars="150"/>
        <w:rPr>
          <w:rFonts w:ascii="Times New Roman" w:hAnsi="Times New Roman" w:cs="Times New Roman"/>
          <w:color w:val="000000"/>
          <w:highlight w:val="none"/>
        </w:rPr>
      </w:pPr>
      <w:r>
        <w:rPr>
          <w:rFonts w:ascii="Times New Roman" w:hAnsi="Times New Roman" w:cs="Times New Roman"/>
          <w:color w:val="000000"/>
          <w:highlight w:val="none"/>
        </w:rPr>
        <w:t>（7）被暂停或取消</w:t>
      </w:r>
      <w:r>
        <w:rPr>
          <w:rFonts w:hint="eastAsia" w:ascii="Times New Roman" w:hAnsi="Times New Roman" w:cs="Times New Roman"/>
          <w:color w:val="000000"/>
          <w:highlight w:val="none"/>
        </w:rPr>
        <w:t>比选申请</w:t>
      </w:r>
      <w:r>
        <w:rPr>
          <w:rFonts w:ascii="Times New Roman" w:hAnsi="Times New Roman" w:cs="Times New Roman"/>
          <w:color w:val="000000"/>
          <w:highlight w:val="none"/>
        </w:rPr>
        <w:t>资格的；</w:t>
      </w:r>
    </w:p>
    <w:p w14:paraId="1C82E4A5">
      <w:pPr>
        <w:spacing w:line="360" w:lineRule="auto"/>
        <w:ind w:firstLine="315" w:firstLineChars="150"/>
        <w:rPr>
          <w:rFonts w:ascii="Times New Roman" w:hAnsi="Times New Roman" w:cs="Times New Roman"/>
          <w:color w:val="000000"/>
          <w:highlight w:val="none"/>
        </w:rPr>
      </w:pPr>
      <w:r>
        <w:rPr>
          <w:rFonts w:ascii="Times New Roman" w:hAnsi="Times New Roman" w:cs="Times New Roman"/>
          <w:color w:val="000000"/>
          <w:highlight w:val="none"/>
        </w:rPr>
        <w:t>（8）财产被接管或冻结的；</w:t>
      </w:r>
    </w:p>
    <w:p w14:paraId="520AFB1C">
      <w:pPr>
        <w:spacing w:line="360" w:lineRule="auto"/>
        <w:ind w:firstLine="315" w:firstLineChars="150"/>
        <w:rPr>
          <w:rFonts w:ascii="Times New Roman" w:hAnsi="Times New Roman" w:cs="Times New Roman"/>
          <w:color w:val="000000"/>
          <w:highlight w:val="none"/>
        </w:rPr>
      </w:pPr>
      <w:r>
        <w:rPr>
          <w:rFonts w:ascii="Times New Roman" w:hAnsi="Times New Roman" w:cs="Times New Roman"/>
          <w:color w:val="000000"/>
          <w:highlight w:val="none"/>
        </w:rPr>
        <w:t>（9）在最近三年内有骗取</w:t>
      </w:r>
      <w:r>
        <w:rPr>
          <w:rFonts w:hint="eastAsia" w:ascii="Times New Roman" w:hAnsi="Times New Roman" w:cs="Times New Roman"/>
          <w:color w:val="000000"/>
          <w:highlight w:val="none"/>
        </w:rPr>
        <w:t>中选</w:t>
      </w:r>
      <w:r>
        <w:rPr>
          <w:rFonts w:ascii="Times New Roman" w:hAnsi="Times New Roman" w:cs="Times New Roman"/>
          <w:color w:val="000000"/>
          <w:highlight w:val="none"/>
        </w:rPr>
        <w:t>或严重违约或重大工程质量问题的；</w:t>
      </w:r>
    </w:p>
    <w:p w14:paraId="052E195B">
      <w:pPr>
        <w:spacing w:line="360" w:lineRule="auto"/>
        <w:ind w:firstLine="315" w:firstLineChars="150"/>
        <w:rPr>
          <w:rFonts w:ascii="Times New Roman" w:hAnsi="Times New Roman" w:cs="Times New Roman"/>
          <w:color w:val="000000"/>
          <w:highlight w:val="none"/>
        </w:rPr>
      </w:pPr>
      <w:r>
        <w:rPr>
          <w:rFonts w:ascii="Times New Roman" w:hAnsi="Times New Roman" w:cs="Times New Roman"/>
          <w:color w:val="000000"/>
          <w:highlight w:val="none"/>
        </w:rPr>
        <w:t>（10）与本项目的监理人或代建人或代理机构同为一个法定代表人的；</w:t>
      </w:r>
    </w:p>
    <w:p w14:paraId="07A39E95">
      <w:pPr>
        <w:spacing w:line="360" w:lineRule="auto"/>
        <w:ind w:firstLine="315" w:firstLineChars="150"/>
        <w:rPr>
          <w:rFonts w:ascii="Times New Roman" w:hAnsi="Times New Roman" w:cs="Times New Roman"/>
          <w:color w:val="000000"/>
          <w:highlight w:val="none"/>
        </w:rPr>
      </w:pPr>
      <w:r>
        <w:rPr>
          <w:rFonts w:ascii="Times New Roman" w:hAnsi="Times New Roman" w:cs="Times New Roman"/>
          <w:color w:val="000000"/>
          <w:highlight w:val="none"/>
        </w:rPr>
        <w:t>（11）与本项目的监理人或代建人或代理机构相互控股或参股的；</w:t>
      </w:r>
    </w:p>
    <w:p w14:paraId="191E87E9">
      <w:pPr>
        <w:spacing w:line="360" w:lineRule="auto"/>
        <w:ind w:firstLine="315" w:firstLineChars="150"/>
        <w:rPr>
          <w:rFonts w:ascii="Times New Roman" w:hAnsi="Times New Roman" w:cs="Times New Roman"/>
          <w:color w:val="000000"/>
          <w:highlight w:val="none"/>
        </w:rPr>
      </w:pPr>
      <w:r>
        <w:rPr>
          <w:rFonts w:ascii="Times New Roman" w:hAnsi="Times New Roman" w:cs="Times New Roman"/>
          <w:color w:val="000000"/>
          <w:highlight w:val="none"/>
        </w:rPr>
        <w:t>（12）与本项目的监理人或代建人或代理机构相互任职或工作的。</w:t>
      </w:r>
    </w:p>
    <w:p w14:paraId="57EF546C">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1.5 费用承担</w:t>
      </w:r>
    </w:p>
    <w:p w14:paraId="591B9B68">
      <w:pPr>
        <w:spacing w:line="360" w:lineRule="auto"/>
        <w:ind w:firstLine="420" w:firstLineChars="200"/>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准备和参加</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活动发生的费用自理。</w:t>
      </w:r>
    </w:p>
    <w:p w14:paraId="0A332674">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1.6 保密</w:t>
      </w:r>
    </w:p>
    <w:p w14:paraId="45B5E728">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参与</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活动的各方应对</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文件和</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中的商业和技术等秘密保密，违者应对由此造成的后果承担法律责任。</w:t>
      </w:r>
    </w:p>
    <w:p w14:paraId="4F489D54">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1.7 语言文字</w:t>
      </w:r>
    </w:p>
    <w:p w14:paraId="5F1127AB">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除专用术语外，与</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有关的语言均使用中文。必要时专用术语应附有中文注释。</w:t>
      </w:r>
    </w:p>
    <w:p w14:paraId="2C7F8694">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1.8 计量单位</w:t>
      </w:r>
    </w:p>
    <w:p w14:paraId="17E38F59">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所有计量均采用中华人民共和国法定计量单位。</w:t>
      </w:r>
    </w:p>
    <w:p w14:paraId="12EDB388">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1.9 踏勘现场</w:t>
      </w:r>
    </w:p>
    <w:p w14:paraId="1EC636AE">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highlight w:val="none"/>
        </w:rPr>
        <w:t>现场踏勘：</w:t>
      </w:r>
      <w:r>
        <w:rPr>
          <w:rFonts w:hint="eastAsia" w:ascii="Times New Roman" w:hAnsi="Times New Roman" w:cs="Times New Roman"/>
          <w:highlight w:val="none"/>
        </w:rPr>
        <w:t>比选人</w:t>
      </w:r>
      <w:r>
        <w:rPr>
          <w:rFonts w:ascii="Times New Roman" w:hAnsi="Times New Roman" w:cs="Times New Roman"/>
          <w:highlight w:val="none"/>
          <w:u w:val="single"/>
        </w:rPr>
        <w:t>不组织</w:t>
      </w:r>
      <w:r>
        <w:rPr>
          <w:rFonts w:ascii="Times New Roman" w:hAnsi="Times New Roman" w:cs="Times New Roman"/>
          <w:highlight w:val="none"/>
        </w:rPr>
        <w:t>，由</w:t>
      </w:r>
      <w:r>
        <w:rPr>
          <w:rFonts w:hint="eastAsia" w:ascii="Times New Roman" w:hAnsi="Times New Roman" w:cs="Times New Roman"/>
          <w:highlight w:val="none"/>
        </w:rPr>
        <w:t>比选申请人</w:t>
      </w:r>
      <w:r>
        <w:rPr>
          <w:rFonts w:ascii="Times New Roman" w:hAnsi="Times New Roman" w:cs="Times New Roman"/>
          <w:highlight w:val="none"/>
        </w:rPr>
        <w:t>自行组织前往，</w:t>
      </w:r>
      <w:r>
        <w:rPr>
          <w:rFonts w:hint="eastAsia" w:ascii="Times New Roman" w:hAnsi="Times New Roman" w:cs="Times New Roman"/>
          <w:highlight w:val="none"/>
        </w:rPr>
        <w:t>比选申请人</w:t>
      </w:r>
      <w:r>
        <w:rPr>
          <w:rFonts w:ascii="Times New Roman" w:hAnsi="Times New Roman" w:cs="Times New Roman"/>
          <w:highlight w:val="none"/>
        </w:rPr>
        <w:t>自行负责踏勘过程中的交通、安全以及相关费用。</w:t>
      </w:r>
    </w:p>
    <w:p w14:paraId="246B126C">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 xml:space="preserve">1.10 </w:t>
      </w:r>
      <w:r>
        <w:rPr>
          <w:rFonts w:hint="eastAsia" w:ascii="Times New Roman" w:hAnsi="Times New Roman" w:cs="Times New Roman"/>
          <w:b/>
          <w:color w:val="000000"/>
          <w:szCs w:val="21"/>
          <w:highlight w:val="none"/>
        </w:rPr>
        <w:t>比选</w:t>
      </w:r>
      <w:r>
        <w:rPr>
          <w:rFonts w:ascii="Times New Roman" w:hAnsi="Times New Roman" w:cs="Times New Roman"/>
          <w:b/>
          <w:color w:val="000000"/>
          <w:szCs w:val="21"/>
          <w:highlight w:val="none"/>
        </w:rPr>
        <w:t>预备会</w:t>
      </w:r>
    </w:p>
    <w:p w14:paraId="26BC7448">
      <w:pPr>
        <w:spacing w:line="360" w:lineRule="auto"/>
        <w:ind w:firstLine="420" w:firstLineChars="200"/>
        <w:rPr>
          <w:rFonts w:ascii="Times New Roman" w:hAnsi="Times New Roman" w:cs="Times New Roman"/>
          <w:color w:val="000000"/>
          <w:szCs w:val="21"/>
          <w:highlight w:val="none"/>
        </w:rPr>
      </w:pPr>
      <w:r>
        <w:rPr>
          <w:rFonts w:hint="eastAsia" w:ascii="Times New Roman" w:hAnsi="Times New Roman" w:cs="Times New Roman"/>
          <w:highlight w:val="none"/>
        </w:rPr>
        <w:t>比选人</w:t>
      </w:r>
      <w:r>
        <w:rPr>
          <w:rFonts w:ascii="Times New Roman" w:hAnsi="Times New Roman" w:cs="Times New Roman"/>
          <w:highlight w:val="none"/>
        </w:rPr>
        <w:t>不组织召开</w:t>
      </w:r>
      <w:r>
        <w:rPr>
          <w:rFonts w:hint="eastAsia" w:ascii="Times New Roman" w:hAnsi="Times New Roman" w:cs="Times New Roman"/>
          <w:highlight w:val="none"/>
        </w:rPr>
        <w:t>比选申请</w:t>
      </w:r>
      <w:r>
        <w:rPr>
          <w:rFonts w:ascii="Times New Roman" w:hAnsi="Times New Roman" w:cs="Times New Roman"/>
          <w:highlight w:val="none"/>
        </w:rPr>
        <w:t>预备会。</w:t>
      </w:r>
    </w:p>
    <w:p w14:paraId="11F51C6A">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1.11 分包</w:t>
      </w:r>
    </w:p>
    <w:p w14:paraId="53BCD2E0">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见</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w:t>
      </w:r>
    </w:p>
    <w:p w14:paraId="0DAA2CAF">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1.12 偏离</w:t>
      </w:r>
    </w:p>
    <w:p w14:paraId="0E3CE65C">
      <w:pPr>
        <w:spacing w:line="360" w:lineRule="auto"/>
        <w:ind w:firstLine="420" w:firstLineChars="200"/>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u w:val="single"/>
        </w:rPr>
        <w:t>不允许</w:t>
      </w:r>
      <w:r>
        <w:rPr>
          <w:rFonts w:ascii="Times New Roman" w:hAnsi="Times New Roman" w:cs="Times New Roman"/>
          <w:color w:val="000000"/>
          <w:szCs w:val="21"/>
          <w:highlight w:val="none"/>
        </w:rPr>
        <w:t>偏离</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文件要求。</w:t>
      </w:r>
    </w:p>
    <w:p w14:paraId="08D16C60">
      <w:pPr>
        <w:spacing w:line="360" w:lineRule="auto"/>
        <w:outlineLvl w:val="0"/>
        <w:rPr>
          <w:rFonts w:ascii="Times New Roman" w:hAnsi="Times New Roman" w:cs="Times New Roman"/>
          <w:b/>
          <w:color w:val="000000"/>
          <w:szCs w:val="21"/>
          <w:highlight w:val="none"/>
        </w:rPr>
      </w:pPr>
      <w:bookmarkStart w:id="18" w:name="_Toc27343"/>
      <w:r>
        <w:rPr>
          <w:rFonts w:ascii="Times New Roman" w:hAnsi="Times New Roman" w:cs="Times New Roman"/>
          <w:b/>
          <w:color w:val="000000"/>
          <w:szCs w:val="21"/>
          <w:highlight w:val="none"/>
        </w:rPr>
        <w:t>2．</w:t>
      </w:r>
      <w:r>
        <w:rPr>
          <w:rFonts w:hint="eastAsia" w:ascii="Times New Roman" w:hAnsi="Times New Roman" w:cs="Times New Roman"/>
          <w:b/>
          <w:color w:val="000000"/>
          <w:szCs w:val="21"/>
          <w:highlight w:val="none"/>
        </w:rPr>
        <w:t>比选</w:t>
      </w:r>
      <w:r>
        <w:rPr>
          <w:rFonts w:ascii="Times New Roman" w:hAnsi="Times New Roman" w:cs="Times New Roman"/>
          <w:b/>
          <w:color w:val="000000"/>
          <w:szCs w:val="21"/>
          <w:highlight w:val="none"/>
        </w:rPr>
        <w:t>文件</w:t>
      </w:r>
      <w:bookmarkEnd w:id="18"/>
    </w:p>
    <w:p w14:paraId="704B2692">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 xml:space="preserve">2.1 </w:t>
      </w:r>
      <w:r>
        <w:rPr>
          <w:rFonts w:hint="eastAsia" w:ascii="Times New Roman" w:hAnsi="Times New Roman" w:cs="Times New Roman"/>
          <w:b/>
          <w:color w:val="000000"/>
          <w:szCs w:val="21"/>
          <w:highlight w:val="none"/>
        </w:rPr>
        <w:t>比选</w:t>
      </w:r>
      <w:r>
        <w:rPr>
          <w:rFonts w:ascii="Times New Roman" w:hAnsi="Times New Roman" w:cs="Times New Roman"/>
          <w:b/>
          <w:color w:val="000000"/>
          <w:szCs w:val="21"/>
          <w:highlight w:val="none"/>
        </w:rPr>
        <w:t>文件的组成</w:t>
      </w:r>
    </w:p>
    <w:p w14:paraId="24F3EC01">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本</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文件包括：</w:t>
      </w:r>
    </w:p>
    <w:p w14:paraId="7D5C92B4">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（1）</w:t>
      </w:r>
      <w:r>
        <w:rPr>
          <w:rFonts w:hint="eastAsia" w:ascii="Times New Roman" w:hAnsi="Times New Roman" w:cs="Times New Roman"/>
          <w:color w:val="000000"/>
          <w:szCs w:val="21"/>
          <w:highlight w:val="none"/>
        </w:rPr>
        <w:t>比选公告</w:t>
      </w:r>
      <w:r>
        <w:rPr>
          <w:rFonts w:ascii="Times New Roman" w:hAnsi="Times New Roman" w:cs="Times New Roman"/>
          <w:color w:val="000000"/>
          <w:szCs w:val="21"/>
          <w:highlight w:val="none"/>
        </w:rPr>
        <w:t>；</w:t>
      </w:r>
    </w:p>
    <w:p w14:paraId="5C3EDD89">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w:t>
      </w:r>
    </w:p>
    <w:p w14:paraId="4FF731C2">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w:t>
      </w:r>
      <w:r>
        <w:rPr>
          <w:rFonts w:hint="eastAsia" w:ascii="Times New Roman" w:hAnsi="Times New Roman" w:cs="Times New Roman"/>
          <w:color w:val="000000"/>
          <w:szCs w:val="21"/>
          <w:highlight w:val="none"/>
          <w:lang w:eastAsia="zh-CN"/>
        </w:rPr>
        <w:t>评审</w:t>
      </w:r>
      <w:r>
        <w:rPr>
          <w:rFonts w:ascii="Times New Roman" w:hAnsi="Times New Roman" w:cs="Times New Roman"/>
          <w:color w:val="000000"/>
          <w:szCs w:val="21"/>
          <w:highlight w:val="none"/>
        </w:rPr>
        <w:t>办法；</w:t>
      </w:r>
    </w:p>
    <w:p w14:paraId="0D92E949">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（4）合同条款及格式；</w:t>
      </w:r>
    </w:p>
    <w:p w14:paraId="0B532DF6">
      <w:pPr>
        <w:spacing w:line="360" w:lineRule="auto"/>
        <w:ind w:firstLine="420" w:firstLineChars="200"/>
        <w:rPr>
          <w:rFonts w:hint="default" w:ascii="Times New Roman" w:hAnsi="Times New Roman" w:cs="Times New Roman"/>
          <w:color w:val="000000"/>
          <w:szCs w:val="21"/>
          <w:highlight w:val="none"/>
          <w:lang w:val="en-US" w:eastAsia="zh-CN"/>
        </w:rPr>
      </w:pPr>
      <w:r>
        <w:rPr>
          <w:rFonts w:ascii="Times New Roman" w:hAnsi="Times New Roman" w:cs="Times New Roman"/>
          <w:color w:val="000000"/>
          <w:szCs w:val="21"/>
          <w:highlight w:val="none"/>
        </w:rPr>
        <w:t>（5）</w:t>
      </w:r>
      <w:r>
        <w:rPr>
          <w:rFonts w:hint="eastAsia" w:ascii="Times New Roman" w:hAnsi="Times New Roman" w:cs="Times New Roman"/>
          <w:color w:val="000000"/>
          <w:szCs w:val="21"/>
          <w:highlight w:val="none"/>
          <w:lang w:val="en-US" w:eastAsia="zh-CN"/>
        </w:rPr>
        <w:t>招标控制价（施工图预算）及图纸；</w:t>
      </w:r>
    </w:p>
    <w:p w14:paraId="0E2F0C5E">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（6）</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格式；</w:t>
      </w:r>
    </w:p>
    <w:p w14:paraId="698454AB">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根据本章第2.2 款和第2.3 款对</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文件所作的澄清、修改，构成</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文件的组成部分。</w:t>
      </w:r>
    </w:p>
    <w:p w14:paraId="2D125D74">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 xml:space="preserve">2.2 </w:t>
      </w:r>
      <w:r>
        <w:rPr>
          <w:rFonts w:hint="eastAsia" w:ascii="Times New Roman" w:hAnsi="Times New Roman" w:cs="Times New Roman"/>
          <w:b/>
          <w:color w:val="000000"/>
          <w:szCs w:val="21"/>
          <w:highlight w:val="none"/>
        </w:rPr>
        <w:t>比选</w:t>
      </w:r>
      <w:r>
        <w:rPr>
          <w:rFonts w:ascii="Times New Roman" w:hAnsi="Times New Roman" w:cs="Times New Roman"/>
          <w:b/>
          <w:color w:val="000000"/>
          <w:szCs w:val="21"/>
          <w:highlight w:val="none"/>
        </w:rPr>
        <w:t>文件的澄清</w:t>
      </w:r>
    </w:p>
    <w:p w14:paraId="3D510194">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详见</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w:t>
      </w:r>
    </w:p>
    <w:p w14:paraId="0C6DE661">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 xml:space="preserve">2.3 </w:t>
      </w:r>
      <w:r>
        <w:rPr>
          <w:rFonts w:hint="eastAsia" w:ascii="Times New Roman" w:hAnsi="Times New Roman" w:cs="Times New Roman"/>
          <w:b/>
          <w:color w:val="000000"/>
          <w:szCs w:val="21"/>
          <w:highlight w:val="none"/>
        </w:rPr>
        <w:t>比选</w:t>
      </w:r>
      <w:r>
        <w:rPr>
          <w:rFonts w:ascii="Times New Roman" w:hAnsi="Times New Roman" w:cs="Times New Roman"/>
          <w:b/>
          <w:color w:val="000000"/>
          <w:szCs w:val="21"/>
          <w:highlight w:val="none"/>
        </w:rPr>
        <w:t>文件的修改</w:t>
      </w:r>
    </w:p>
    <w:p w14:paraId="5E157ADB">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详见</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w:t>
      </w:r>
    </w:p>
    <w:p w14:paraId="1F87516F">
      <w:pPr>
        <w:spacing w:line="360" w:lineRule="auto"/>
        <w:outlineLvl w:val="0"/>
        <w:rPr>
          <w:rFonts w:ascii="Times New Roman" w:hAnsi="Times New Roman" w:cs="Times New Roman"/>
          <w:b/>
          <w:color w:val="000000"/>
          <w:szCs w:val="21"/>
          <w:highlight w:val="none"/>
        </w:rPr>
      </w:pPr>
      <w:bookmarkStart w:id="19" w:name="_Toc27635"/>
      <w:r>
        <w:rPr>
          <w:rFonts w:ascii="Times New Roman" w:hAnsi="Times New Roman" w:cs="Times New Roman"/>
          <w:b/>
          <w:color w:val="000000"/>
          <w:szCs w:val="21"/>
          <w:highlight w:val="none"/>
        </w:rPr>
        <w:t>3．</w:t>
      </w:r>
      <w:r>
        <w:rPr>
          <w:rFonts w:hint="eastAsia" w:ascii="Times New Roman" w:hAnsi="Times New Roman" w:cs="Times New Roman"/>
          <w:b/>
          <w:color w:val="000000"/>
          <w:szCs w:val="21"/>
          <w:highlight w:val="none"/>
        </w:rPr>
        <w:t>比选申请文件</w:t>
      </w:r>
      <w:bookmarkEnd w:id="19"/>
    </w:p>
    <w:p w14:paraId="77C3386E">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 xml:space="preserve">3.1 </w:t>
      </w:r>
      <w:r>
        <w:rPr>
          <w:rFonts w:hint="eastAsia" w:ascii="Times New Roman" w:hAnsi="Times New Roman" w:cs="Times New Roman"/>
          <w:b/>
          <w:color w:val="000000"/>
          <w:szCs w:val="21"/>
          <w:highlight w:val="none"/>
        </w:rPr>
        <w:t>比选申请文件</w:t>
      </w:r>
      <w:r>
        <w:rPr>
          <w:rFonts w:ascii="Times New Roman" w:hAnsi="Times New Roman" w:cs="Times New Roman"/>
          <w:b/>
          <w:color w:val="000000"/>
          <w:szCs w:val="21"/>
          <w:highlight w:val="none"/>
        </w:rPr>
        <w:t>的组成</w:t>
      </w:r>
    </w:p>
    <w:p w14:paraId="7609C0E9">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3.1.1 </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应包括的内容见“</w:t>
      </w:r>
      <w:r>
        <w:rPr>
          <w:rFonts w:hint="eastAsia" w:ascii="Times New Roman" w:hAnsi="Times New Roman" w:cs="Times New Roman"/>
          <w:color w:val="000000"/>
          <w:szCs w:val="21"/>
          <w:highlight w:val="none"/>
          <w:lang w:eastAsia="zh-CN"/>
        </w:rPr>
        <w:t>第六章</w:t>
      </w:r>
      <w:r>
        <w:rPr>
          <w:rFonts w:ascii="Times New Roman" w:hAnsi="Times New Roman" w:cs="Times New Roman"/>
          <w:color w:val="000000"/>
          <w:szCs w:val="21"/>
          <w:highlight w:val="none"/>
        </w:rPr>
        <w:t xml:space="preserve"> </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格式”。</w:t>
      </w:r>
    </w:p>
    <w:p w14:paraId="085C66D7">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3.1.2 </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须知前附表规定不接受联合体</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的，或</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没有组成联合体的，</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 xml:space="preserve">无须提供联合体协议书。 </w:t>
      </w:r>
    </w:p>
    <w:p w14:paraId="61DE4706">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 xml:space="preserve">3.2 </w:t>
      </w:r>
      <w:r>
        <w:rPr>
          <w:rFonts w:hint="eastAsia" w:ascii="Times New Roman" w:hAnsi="Times New Roman" w:cs="Times New Roman"/>
          <w:b/>
          <w:color w:val="000000"/>
          <w:szCs w:val="21"/>
          <w:highlight w:val="none"/>
        </w:rPr>
        <w:t>比选申请</w:t>
      </w:r>
      <w:r>
        <w:rPr>
          <w:rFonts w:ascii="Times New Roman" w:hAnsi="Times New Roman" w:cs="Times New Roman"/>
          <w:b/>
          <w:color w:val="000000"/>
          <w:szCs w:val="21"/>
          <w:highlight w:val="none"/>
        </w:rPr>
        <w:t>报价</w:t>
      </w:r>
    </w:p>
    <w:p w14:paraId="39DBD09D">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3.2.1 </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应按“</w:t>
      </w:r>
      <w:r>
        <w:rPr>
          <w:rFonts w:hint="eastAsia" w:ascii="Times New Roman" w:hAnsi="Times New Roman" w:cs="Times New Roman"/>
          <w:color w:val="000000"/>
          <w:szCs w:val="21"/>
          <w:highlight w:val="none"/>
          <w:lang w:eastAsia="zh-CN"/>
        </w:rPr>
        <w:t>第六章</w:t>
      </w:r>
      <w:r>
        <w:rPr>
          <w:rFonts w:ascii="Times New Roman" w:hAnsi="Times New Roman" w:cs="Times New Roman"/>
          <w:color w:val="000000"/>
          <w:szCs w:val="21"/>
          <w:highlight w:val="none"/>
        </w:rPr>
        <w:t xml:space="preserve"> </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格式”的要求填写相应表格。</w:t>
      </w:r>
    </w:p>
    <w:p w14:paraId="6D79AA0E">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3.2.2 </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在</w:t>
      </w:r>
      <w:r>
        <w:rPr>
          <w:rFonts w:hint="eastAsia" w:ascii="Times New Roman" w:hAnsi="Times New Roman" w:cs="Times New Roman"/>
          <w:kern w:val="0"/>
          <w:szCs w:val="21"/>
          <w:highlight w:val="none"/>
        </w:rPr>
        <w:t>比选申请文件</w:t>
      </w:r>
      <w:r>
        <w:rPr>
          <w:rFonts w:ascii="Times New Roman" w:hAnsi="Times New Roman" w:cs="Times New Roman"/>
          <w:kern w:val="0"/>
          <w:szCs w:val="21"/>
          <w:highlight w:val="none"/>
        </w:rPr>
        <w:t>递交截止时间</w:t>
      </w:r>
      <w:r>
        <w:rPr>
          <w:rFonts w:ascii="Times New Roman" w:hAnsi="Times New Roman" w:cs="Times New Roman"/>
          <w:color w:val="000000"/>
          <w:szCs w:val="21"/>
          <w:highlight w:val="none"/>
        </w:rPr>
        <w:t>前修改</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函中的</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报价，须符合本章第4.</w:t>
      </w:r>
      <w:r>
        <w:rPr>
          <w:rFonts w:hint="eastAsia" w:ascii="Times New Roman" w:hAnsi="Times New Roman" w:cs="Times New Roman"/>
          <w:color w:val="000000"/>
          <w:szCs w:val="21"/>
          <w:highlight w:val="none"/>
        </w:rPr>
        <w:t>2</w:t>
      </w:r>
      <w:r>
        <w:rPr>
          <w:rFonts w:ascii="Times New Roman" w:hAnsi="Times New Roman" w:cs="Times New Roman"/>
          <w:color w:val="000000"/>
          <w:szCs w:val="21"/>
          <w:highlight w:val="none"/>
        </w:rPr>
        <w:t>款的有关要求。</w:t>
      </w:r>
    </w:p>
    <w:p w14:paraId="04D1E2FD">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 xml:space="preserve">3.3 </w:t>
      </w:r>
      <w:r>
        <w:rPr>
          <w:rFonts w:hint="eastAsia" w:ascii="Times New Roman" w:hAnsi="Times New Roman" w:cs="Times New Roman"/>
          <w:b/>
          <w:color w:val="000000"/>
          <w:szCs w:val="21"/>
          <w:highlight w:val="none"/>
        </w:rPr>
        <w:t>比选申请</w:t>
      </w:r>
      <w:r>
        <w:rPr>
          <w:rFonts w:ascii="Times New Roman" w:hAnsi="Times New Roman" w:cs="Times New Roman"/>
          <w:b/>
          <w:color w:val="000000"/>
          <w:szCs w:val="21"/>
          <w:highlight w:val="none"/>
        </w:rPr>
        <w:t>有效期</w:t>
      </w:r>
    </w:p>
    <w:p w14:paraId="6A933CB2">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3.3.1 在</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须知前附表规定的</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有效期内，</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不得要求撤销或修改其</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w:t>
      </w:r>
    </w:p>
    <w:p w14:paraId="75C6059B">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3.3.2 出现特殊情况需要延长</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有效期的，</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以</w:t>
      </w:r>
      <w:r>
        <w:rPr>
          <w:rFonts w:hint="eastAsia" w:ascii="Times New Roman" w:hAnsi="Times New Roman" w:cs="Times New Roman"/>
          <w:color w:val="000000"/>
          <w:szCs w:val="21"/>
          <w:highlight w:val="none"/>
        </w:rPr>
        <w:t>公示形式</w:t>
      </w:r>
      <w:r>
        <w:rPr>
          <w:rFonts w:ascii="Times New Roman" w:hAnsi="Times New Roman" w:cs="Times New Roman"/>
          <w:color w:val="000000"/>
          <w:szCs w:val="21"/>
          <w:highlight w:val="none"/>
        </w:rPr>
        <w:t>通知所有</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延长</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有效期。</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同意延长的，应相应延长其</w:t>
      </w:r>
      <w:r>
        <w:rPr>
          <w:rFonts w:hint="eastAsia" w:ascii="Times New Roman" w:hAnsi="Times New Roman" w:cs="Times New Roman"/>
          <w:color w:val="000000"/>
          <w:szCs w:val="21"/>
          <w:highlight w:val="none"/>
          <w:lang w:eastAsia="zh-CN"/>
        </w:rPr>
        <w:t>投标保证金</w:t>
      </w:r>
      <w:r>
        <w:rPr>
          <w:rFonts w:ascii="Times New Roman" w:hAnsi="Times New Roman" w:cs="Times New Roman"/>
          <w:color w:val="000000"/>
          <w:szCs w:val="21"/>
          <w:highlight w:val="none"/>
        </w:rPr>
        <w:t>的有效期，但不得要求或被允许修改或撤销其</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拒绝延长的，其</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失效，但</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有权收回其</w:t>
      </w:r>
      <w:r>
        <w:rPr>
          <w:rFonts w:hint="eastAsia" w:ascii="Times New Roman" w:hAnsi="Times New Roman" w:cs="Times New Roman"/>
          <w:color w:val="000000"/>
          <w:szCs w:val="21"/>
          <w:highlight w:val="none"/>
          <w:lang w:eastAsia="zh-CN"/>
        </w:rPr>
        <w:t>投标保证金</w:t>
      </w:r>
      <w:r>
        <w:rPr>
          <w:rFonts w:ascii="Times New Roman" w:hAnsi="Times New Roman" w:cs="Times New Roman"/>
          <w:color w:val="000000"/>
          <w:szCs w:val="21"/>
          <w:highlight w:val="none"/>
        </w:rPr>
        <w:t>。</w:t>
      </w:r>
    </w:p>
    <w:p w14:paraId="382ED4DA">
      <w:pPr>
        <w:spacing w:line="360" w:lineRule="auto"/>
        <w:rPr>
          <w:rFonts w:hint="eastAsia" w:ascii="Times New Roman" w:hAnsi="Times New Roman" w:eastAsia="宋体" w:cs="Times New Roman"/>
          <w:b/>
          <w:color w:val="000000"/>
          <w:szCs w:val="21"/>
          <w:highlight w:val="none"/>
          <w:lang w:eastAsia="zh-CN"/>
        </w:rPr>
      </w:pPr>
      <w:r>
        <w:rPr>
          <w:rFonts w:ascii="Times New Roman" w:hAnsi="Times New Roman" w:cs="Times New Roman"/>
          <w:b/>
          <w:color w:val="000000"/>
          <w:szCs w:val="21"/>
          <w:highlight w:val="none"/>
        </w:rPr>
        <w:t xml:space="preserve">3.4 </w:t>
      </w:r>
      <w:r>
        <w:rPr>
          <w:rFonts w:hint="eastAsia" w:ascii="Times New Roman" w:hAnsi="Times New Roman" w:cs="Times New Roman"/>
          <w:b/>
          <w:color w:val="000000"/>
          <w:szCs w:val="21"/>
          <w:highlight w:val="none"/>
          <w:lang w:eastAsia="zh-CN"/>
        </w:rPr>
        <w:t>投标保证金</w:t>
      </w:r>
    </w:p>
    <w:p w14:paraId="6844C6F5">
      <w:pPr>
        <w:spacing w:line="360" w:lineRule="auto"/>
        <w:ind w:firstLine="420" w:firstLineChars="200"/>
        <w:rPr>
          <w:rFonts w:ascii="Times New Roman" w:hAnsi="Times New Roman" w:cs="Times New Roman"/>
          <w:b/>
          <w:color w:val="000000"/>
          <w:szCs w:val="21"/>
          <w:highlight w:val="none"/>
        </w:rPr>
      </w:pPr>
      <w:r>
        <w:rPr>
          <w:rFonts w:ascii="Times New Roman" w:hAnsi="Times New Roman" w:cs="Times New Roman"/>
          <w:color w:val="000000"/>
          <w:szCs w:val="21"/>
          <w:highlight w:val="none"/>
        </w:rPr>
        <w:t>见</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w:t>
      </w:r>
    </w:p>
    <w:p w14:paraId="091016A8">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3.5 资格审查资料</w:t>
      </w:r>
    </w:p>
    <w:p w14:paraId="7E436335">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3.5.1 “</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基本情况表”应附</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有效的营业执照副本、资质证书和安全生产许可证（依法不需要提供的除外）等材料的复印件或扫描件。</w:t>
      </w:r>
    </w:p>
    <w:p w14:paraId="78F92991">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3.5.2 “近年财务状况表”：不提供。</w:t>
      </w:r>
    </w:p>
    <w:p w14:paraId="3424E6A8">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3.5.3 “类似工程业绩表”：具体要求以第三章</w:t>
      </w:r>
      <w:r>
        <w:rPr>
          <w:rFonts w:hint="eastAsia" w:ascii="Times New Roman" w:hAnsi="Times New Roman" w:cs="Times New Roman"/>
          <w:color w:val="000000"/>
          <w:szCs w:val="21"/>
          <w:highlight w:val="none"/>
          <w:lang w:eastAsia="zh-CN"/>
        </w:rPr>
        <w:t>评审</w:t>
      </w:r>
      <w:r>
        <w:rPr>
          <w:rFonts w:ascii="Times New Roman" w:hAnsi="Times New Roman" w:cs="Times New Roman"/>
          <w:color w:val="000000"/>
          <w:szCs w:val="21"/>
          <w:highlight w:val="none"/>
        </w:rPr>
        <w:t>办法类似工程业绩要求为准。</w:t>
      </w:r>
    </w:p>
    <w:p w14:paraId="590B104B">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3.5.4“企业工程业绩汇总表”：具体要求以第三章</w:t>
      </w:r>
      <w:r>
        <w:rPr>
          <w:rFonts w:hint="eastAsia" w:ascii="Times New Roman" w:hAnsi="Times New Roman" w:cs="Times New Roman"/>
          <w:color w:val="000000"/>
          <w:szCs w:val="21"/>
          <w:highlight w:val="none"/>
          <w:lang w:eastAsia="zh-CN"/>
        </w:rPr>
        <w:t>评审</w:t>
      </w:r>
      <w:r>
        <w:rPr>
          <w:rFonts w:ascii="Times New Roman" w:hAnsi="Times New Roman" w:cs="Times New Roman"/>
          <w:color w:val="000000"/>
          <w:szCs w:val="21"/>
          <w:highlight w:val="none"/>
        </w:rPr>
        <w:t>办法</w:t>
      </w:r>
      <w:r>
        <w:rPr>
          <w:rFonts w:hint="eastAsia" w:ascii="Times New Roman" w:hAnsi="Times New Roman" w:cs="Times New Roman"/>
          <w:color w:val="000000"/>
          <w:szCs w:val="21"/>
          <w:highlight w:val="none"/>
        </w:rPr>
        <w:t>业绩</w:t>
      </w:r>
      <w:r>
        <w:rPr>
          <w:rFonts w:ascii="Times New Roman" w:hAnsi="Times New Roman" w:cs="Times New Roman"/>
          <w:color w:val="000000"/>
          <w:szCs w:val="21"/>
          <w:highlight w:val="none"/>
        </w:rPr>
        <w:t>要求为准。</w:t>
      </w:r>
    </w:p>
    <w:p w14:paraId="43A1A5D2">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3.5.5“近年发生的诉讼及仲裁情况”：不提供。</w:t>
      </w:r>
    </w:p>
    <w:p w14:paraId="7C881022">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3.5.6 </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须知前附表规定接受联合体</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的，本章第3.5.1 项至第3.5.5 项规定的表格和资料应包括联合体各方相关情况。</w:t>
      </w:r>
    </w:p>
    <w:p w14:paraId="07A2C809">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3.6 备选</w:t>
      </w:r>
      <w:r>
        <w:rPr>
          <w:rFonts w:hint="eastAsia" w:ascii="Times New Roman" w:hAnsi="Times New Roman" w:cs="Times New Roman"/>
          <w:b/>
          <w:color w:val="000000"/>
          <w:szCs w:val="21"/>
          <w:highlight w:val="none"/>
        </w:rPr>
        <w:t>比选申请文件</w:t>
      </w:r>
    </w:p>
    <w:p w14:paraId="55778AA8">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除</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须知前附表另有规定外，</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不得递交备选</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w:t>
      </w:r>
    </w:p>
    <w:p w14:paraId="162F015B">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 xml:space="preserve">3.7 </w:t>
      </w:r>
      <w:r>
        <w:rPr>
          <w:rFonts w:hint="eastAsia" w:ascii="Times New Roman" w:hAnsi="Times New Roman" w:cs="Times New Roman"/>
          <w:b/>
          <w:color w:val="000000"/>
          <w:szCs w:val="21"/>
          <w:highlight w:val="none"/>
        </w:rPr>
        <w:t>比选申请文件</w:t>
      </w:r>
      <w:r>
        <w:rPr>
          <w:rFonts w:ascii="Times New Roman" w:hAnsi="Times New Roman" w:cs="Times New Roman"/>
          <w:b/>
          <w:color w:val="000000"/>
          <w:szCs w:val="21"/>
          <w:highlight w:val="none"/>
        </w:rPr>
        <w:t>的编制</w:t>
      </w:r>
    </w:p>
    <w:p w14:paraId="6B4DCC1F">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3.7.1 </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应按“</w:t>
      </w:r>
      <w:r>
        <w:rPr>
          <w:rFonts w:hint="eastAsia" w:ascii="Times New Roman" w:hAnsi="Times New Roman" w:cs="Times New Roman"/>
          <w:color w:val="000000"/>
          <w:szCs w:val="21"/>
          <w:highlight w:val="none"/>
          <w:lang w:eastAsia="zh-CN"/>
        </w:rPr>
        <w:t>第六章</w:t>
      </w:r>
      <w:r>
        <w:rPr>
          <w:rFonts w:ascii="Times New Roman" w:hAnsi="Times New Roman" w:cs="Times New Roman"/>
          <w:color w:val="000000"/>
          <w:szCs w:val="21"/>
          <w:highlight w:val="none"/>
        </w:rPr>
        <w:t xml:space="preserve"> </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格式”进行编写，如有必要，可以增加附页，作为</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的组成部分。其中，</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函附录在满足</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文件实质性要求的基础上，可以提出比</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文件要求更有利于</w:t>
      </w:r>
      <w:r>
        <w:rPr>
          <w:rFonts w:hint="eastAsia" w:ascii="Times New Roman" w:hAnsi="Times New Roman" w:cs="Times New Roman"/>
          <w:color w:val="000000"/>
          <w:szCs w:val="21"/>
          <w:highlight w:val="none"/>
        </w:rPr>
        <w:t>比选人</w:t>
      </w:r>
      <w:r>
        <w:rPr>
          <w:rFonts w:ascii="Times New Roman" w:hAnsi="Times New Roman" w:cs="Times New Roman"/>
          <w:color w:val="000000"/>
          <w:szCs w:val="21"/>
          <w:highlight w:val="none"/>
        </w:rPr>
        <w:t>的承诺。</w:t>
      </w:r>
    </w:p>
    <w:p w14:paraId="1F562402">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3.7.2 </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应当对</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文件有关工期、</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有效期、质量要求、</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范围等实质性内容作出响应。</w:t>
      </w:r>
    </w:p>
    <w:p w14:paraId="754F4729">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3.7.3 </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应由</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的法定代表人或其委托代理人签字或盖单位章。委托代理人签字的，</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应附法定代表人签署的授权委托书。</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应尽量避免涂改、行间插字或删除。如果出现上述情况，改动之处应加盖单位章或由</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的法定代表人或其</w:t>
      </w:r>
      <w:r>
        <w:rPr>
          <w:rFonts w:hint="eastAsia" w:ascii="Times New Roman" w:hAnsi="Times New Roman" w:cs="Times New Roman"/>
          <w:color w:val="000000"/>
          <w:szCs w:val="21"/>
          <w:highlight w:val="none"/>
        </w:rPr>
        <w:t>委托代理人</w:t>
      </w:r>
      <w:r>
        <w:rPr>
          <w:rFonts w:ascii="Times New Roman" w:hAnsi="Times New Roman" w:cs="Times New Roman"/>
          <w:color w:val="000000"/>
          <w:szCs w:val="21"/>
          <w:highlight w:val="none"/>
        </w:rPr>
        <w:t>签字确认。签字或盖章的具体要求见</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w:t>
      </w:r>
    </w:p>
    <w:p w14:paraId="47B752A4">
      <w:pPr>
        <w:spacing w:line="360" w:lineRule="auto"/>
        <w:outlineLvl w:val="0"/>
        <w:rPr>
          <w:rFonts w:ascii="Times New Roman" w:hAnsi="Times New Roman" w:cs="Times New Roman"/>
          <w:b/>
          <w:color w:val="000000"/>
          <w:szCs w:val="21"/>
          <w:highlight w:val="none"/>
        </w:rPr>
      </w:pPr>
      <w:bookmarkStart w:id="20" w:name="_Toc23278"/>
      <w:r>
        <w:rPr>
          <w:rFonts w:ascii="Times New Roman" w:hAnsi="Times New Roman" w:cs="Times New Roman"/>
          <w:b/>
          <w:color w:val="000000"/>
          <w:szCs w:val="21"/>
          <w:highlight w:val="none"/>
        </w:rPr>
        <w:t>4．</w:t>
      </w:r>
      <w:r>
        <w:rPr>
          <w:rFonts w:hint="eastAsia" w:ascii="Times New Roman" w:hAnsi="Times New Roman" w:cs="Times New Roman"/>
          <w:b/>
          <w:color w:val="000000"/>
          <w:szCs w:val="21"/>
          <w:highlight w:val="none"/>
        </w:rPr>
        <w:t>比选申请</w:t>
      </w:r>
      <w:bookmarkEnd w:id="20"/>
    </w:p>
    <w:p w14:paraId="1302D1E9">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 xml:space="preserve">4.1 </w:t>
      </w:r>
      <w:r>
        <w:rPr>
          <w:rFonts w:hint="eastAsia" w:ascii="Times New Roman" w:hAnsi="Times New Roman" w:cs="Times New Roman"/>
          <w:b/>
          <w:color w:val="000000"/>
          <w:szCs w:val="21"/>
          <w:highlight w:val="none"/>
        </w:rPr>
        <w:t>比选申请文件</w:t>
      </w:r>
      <w:r>
        <w:rPr>
          <w:rFonts w:ascii="Times New Roman" w:hAnsi="Times New Roman" w:cs="Times New Roman"/>
          <w:b/>
          <w:color w:val="000000"/>
          <w:szCs w:val="21"/>
          <w:highlight w:val="none"/>
        </w:rPr>
        <w:t>的递交</w:t>
      </w:r>
    </w:p>
    <w:p w14:paraId="3495CA54">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4.2.1 </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应按</w:t>
      </w:r>
      <w:r>
        <w:rPr>
          <w:rFonts w:hint="eastAsia" w:ascii="Times New Roman" w:hAnsi="Times New Roman" w:cs="Times New Roman"/>
          <w:color w:val="000000"/>
          <w:szCs w:val="21"/>
          <w:highlight w:val="none"/>
        </w:rPr>
        <w:t>比选公告</w:t>
      </w:r>
      <w:r>
        <w:rPr>
          <w:rFonts w:ascii="Times New Roman" w:hAnsi="Times New Roman" w:cs="Times New Roman"/>
          <w:color w:val="000000"/>
          <w:szCs w:val="21"/>
          <w:highlight w:val="none"/>
        </w:rPr>
        <w:t>相关规定递交</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w:t>
      </w:r>
    </w:p>
    <w:p w14:paraId="6D294AD0">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4.2.2 除</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须知前附表另有规定外，</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所递交的</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不予退还。</w:t>
      </w:r>
    </w:p>
    <w:p w14:paraId="164D1983">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4.2.3 逾期递交的</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w:t>
      </w:r>
      <w:r>
        <w:rPr>
          <w:rFonts w:hint="eastAsia" w:ascii="Times New Roman" w:hAnsi="Times New Roman" w:cs="Times New Roman"/>
          <w:color w:val="000000"/>
          <w:szCs w:val="21"/>
          <w:highlight w:val="none"/>
        </w:rPr>
        <w:t>比选人</w:t>
      </w:r>
      <w:r>
        <w:rPr>
          <w:rFonts w:ascii="Times New Roman" w:hAnsi="Times New Roman" w:cs="Times New Roman"/>
          <w:color w:val="000000"/>
          <w:szCs w:val="21"/>
          <w:highlight w:val="none"/>
        </w:rPr>
        <w:t>不予受理。</w:t>
      </w:r>
    </w:p>
    <w:p w14:paraId="48111426">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 xml:space="preserve">4.2 </w:t>
      </w:r>
      <w:r>
        <w:rPr>
          <w:rFonts w:hint="eastAsia" w:ascii="Times New Roman" w:hAnsi="Times New Roman" w:cs="Times New Roman"/>
          <w:b/>
          <w:color w:val="000000"/>
          <w:szCs w:val="21"/>
          <w:highlight w:val="none"/>
        </w:rPr>
        <w:t>比选申请文件</w:t>
      </w:r>
      <w:r>
        <w:rPr>
          <w:rFonts w:ascii="Times New Roman" w:hAnsi="Times New Roman" w:cs="Times New Roman"/>
          <w:b/>
          <w:color w:val="000000"/>
          <w:szCs w:val="21"/>
          <w:highlight w:val="none"/>
        </w:rPr>
        <w:t>的修改与撤回</w:t>
      </w:r>
    </w:p>
    <w:p w14:paraId="6298209F">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4.3.1 在本章前附表第18项规定的</w:t>
      </w:r>
      <w:r>
        <w:rPr>
          <w:rFonts w:hint="eastAsia" w:ascii="Times New Roman" w:hAnsi="Times New Roman" w:cs="Times New Roman"/>
          <w:kern w:val="0"/>
          <w:szCs w:val="21"/>
          <w:highlight w:val="none"/>
        </w:rPr>
        <w:t>比选申请文件</w:t>
      </w:r>
      <w:r>
        <w:rPr>
          <w:rFonts w:ascii="Times New Roman" w:hAnsi="Times New Roman" w:cs="Times New Roman"/>
          <w:kern w:val="0"/>
          <w:szCs w:val="21"/>
          <w:highlight w:val="none"/>
        </w:rPr>
        <w:t>递交截止时间</w:t>
      </w:r>
      <w:r>
        <w:rPr>
          <w:rFonts w:ascii="Times New Roman" w:hAnsi="Times New Roman" w:cs="Times New Roman"/>
          <w:color w:val="000000"/>
          <w:szCs w:val="21"/>
          <w:highlight w:val="none"/>
        </w:rPr>
        <w:t>前，</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可以修改或撤回已递交的</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w:t>
      </w:r>
    </w:p>
    <w:p w14:paraId="15322441">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4.3.2 </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修改或撤回已递交</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的书面通知应按照本章第3.7.3 项的要求签字或盖章。</w:t>
      </w:r>
    </w:p>
    <w:p w14:paraId="4AFBFA2D">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4.3.3 修改的内容为</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的组成部分。修改的</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应按照本章第3 条、第4 条规定进行编制、密封、标记和递交，并标明“修改”字样。</w:t>
      </w:r>
    </w:p>
    <w:p w14:paraId="2D48F3EB">
      <w:pPr>
        <w:spacing w:line="360" w:lineRule="auto"/>
        <w:outlineLvl w:val="0"/>
        <w:rPr>
          <w:rFonts w:ascii="Times New Roman" w:hAnsi="Times New Roman" w:cs="Times New Roman"/>
          <w:b/>
          <w:color w:val="000000"/>
          <w:szCs w:val="21"/>
          <w:highlight w:val="none"/>
        </w:rPr>
      </w:pPr>
      <w:bookmarkStart w:id="21" w:name="_Toc3451"/>
      <w:r>
        <w:rPr>
          <w:rFonts w:ascii="Times New Roman" w:hAnsi="Times New Roman" w:cs="Times New Roman"/>
          <w:b/>
          <w:color w:val="000000"/>
          <w:szCs w:val="21"/>
          <w:highlight w:val="none"/>
        </w:rPr>
        <w:t>5．开标</w:t>
      </w:r>
      <w:bookmarkEnd w:id="21"/>
    </w:p>
    <w:p w14:paraId="48584406">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5.1 开标时间和地点</w:t>
      </w:r>
    </w:p>
    <w:p w14:paraId="46514BFD">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见</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须知前附表。邀请所有</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的法定代表人或其委托代理人准时参加。</w:t>
      </w:r>
    </w:p>
    <w:p w14:paraId="37274FDF">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5.2 开标程序</w:t>
      </w:r>
    </w:p>
    <w:p w14:paraId="652D8B43">
      <w:pPr>
        <w:spacing w:line="360" w:lineRule="auto"/>
        <w:ind w:firstLine="420" w:firstLineChars="200"/>
        <w:outlineLvl w:val="0"/>
        <w:rPr>
          <w:rFonts w:ascii="Times New Roman" w:hAnsi="Times New Roman" w:cs="Times New Roman"/>
          <w:color w:val="000000"/>
          <w:szCs w:val="21"/>
          <w:highlight w:val="none"/>
        </w:rPr>
      </w:pPr>
      <w:bookmarkStart w:id="22" w:name="_Toc13128"/>
      <w:r>
        <w:rPr>
          <w:rFonts w:ascii="Times New Roman" w:hAnsi="Times New Roman" w:cs="Times New Roman"/>
          <w:color w:val="000000"/>
          <w:szCs w:val="21"/>
          <w:highlight w:val="none"/>
        </w:rPr>
        <w:t>见</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w:t>
      </w:r>
      <w:bookmarkEnd w:id="22"/>
    </w:p>
    <w:p w14:paraId="25AA60C8">
      <w:pPr>
        <w:spacing w:line="360" w:lineRule="auto"/>
        <w:outlineLvl w:val="0"/>
        <w:rPr>
          <w:rFonts w:ascii="Times New Roman" w:hAnsi="Times New Roman" w:cs="Times New Roman"/>
          <w:b/>
          <w:color w:val="000000"/>
          <w:szCs w:val="21"/>
          <w:highlight w:val="none"/>
        </w:rPr>
      </w:pPr>
      <w:bookmarkStart w:id="23" w:name="_Toc5553"/>
      <w:r>
        <w:rPr>
          <w:rFonts w:ascii="Times New Roman" w:hAnsi="Times New Roman" w:cs="Times New Roman"/>
          <w:b/>
          <w:color w:val="000000"/>
          <w:szCs w:val="21"/>
          <w:highlight w:val="none"/>
        </w:rPr>
        <w:t>6．评审</w:t>
      </w:r>
      <w:bookmarkEnd w:id="23"/>
    </w:p>
    <w:p w14:paraId="1F9751B2">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6.1 评</w:t>
      </w:r>
      <w:r>
        <w:rPr>
          <w:rFonts w:hint="eastAsia" w:ascii="Times New Roman" w:hAnsi="Times New Roman" w:cs="Times New Roman"/>
          <w:b/>
          <w:color w:val="000000"/>
          <w:szCs w:val="21"/>
          <w:highlight w:val="none"/>
          <w:lang w:val="en-US" w:eastAsia="zh-CN"/>
        </w:rPr>
        <w:t>审</w:t>
      </w:r>
      <w:r>
        <w:rPr>
          <w:rFonts w:ascii="Times New Roman" w:hAnsi="Times New Roman" w:cs="Times New Roman"/>
          <w:b/>
          <w:color w:val="000000"/>
          <w:szCs w:val="21"/>
          <w:highlight w:val="none"/>
        </w:rPr>
        <w:t>委员会</w:t>
      </w:r>
    </w:p>
    <w:p w14:paraId="5D4A391A">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6.1.1 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委员会成员人数见</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w:t>
      </w:r>
    </w:p>
    <w:p w14:paraId="4CD25C8C">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6.1.2 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委员会成员有下列情形之一的，应当回避：</w:t>
      </w:r>
    </w:p>
    <w:p w14:paraId="505F5686">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(1)</w:t>
      </w:r>
      <w:r>
        <w:rPr>
          <w:rFonts w:hint="eastAsia" w:ascii="Times New Roman" w:hAnsi="Times New Roman" w:cs="Times New Roman"/>
          <w:color w:val="000000"/>
          <w:szCs w:val="21"/>
          <w:highlight w:val="none"/>
        </w:rPr>
        <w:t>比选人</w:t>
      </w:r>
      <w:r>
        <w:rPr>
          <w:rFonts w:ascii="Times New Roman" w:hAnsi="Times New Roman" w:cs="Times New Roman"/>
          <w:color w:val="000000"/>
          <w:szCs w:val="21"/>
          <w:highlight w:val="none"/>
        </w:rPr>
        <w:t>或</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的主要负责人的近亲属；</w:t>
      </w:r>
    </w:p>
    <w:p w14:paraId="2F88E822">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(2)项目主管部门或者行政监督部门的人员：</w:t>
      </w:r>
    </w:p>
    <w:p w14:paraId="38E3EEB4">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(3)与</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有经济利益关系，可能影响对</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公正评审的；</w:t>
      </w:r>
    </w:p>
    <w:p w14:paraId="5C015C51">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(4)曾因在</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、评审以及其他与</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有关活动中从事违法行为而受过行政处罚或刑事处罚的。</w:t>
      </w:r>
    </w:p>
    <w:p w14:paraId="1A53D875">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6.2 评审原则</w:t>
      </w:r>
    </w:p>
    <w:p w14:paraId="6172FCC4">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评审活动遵循公平、公正、科学和择优的原则。</w:t>
      </w:r>
    </w:p>
    <w:p w14:paraId="016A1D46">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6.3 评审</w:t>
      </w:r>
    </w:p>
    <w:p w14:paraId="74CBED39">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委员会按照第三章“评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办法”规定的方法、评审因素、标准和程序对</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进行评审。第三章“评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办法”没有规定的方法、评审因素和标准，不作为评审依据。</w:t>
      </w:r>
    </w:p>
    <w:p w14:paraId="4FFB6331">
      <w:pPr>
        <w:spacing w:line="360" w:lineRule="auto"/>
        <w:outlineLvl w:val="0"/>
        <w:rPr>
          <w:rFonts w:ascii="Times New Roman" w:hAnsi="Times New Roman" w:cs="Times New Roman"/>
          <w:b/>
          <w:color w:val="000000"/>
          <w:szCs w:val="21"/>
          <w:highlight w:val="none"/>
        </w:rPr>
      </w:pPr>
      <w:bookmarkStart w:id="24" w:name="_Toc3702"/>
      <w:r>
        <w:rPr>
          <w:rFonts w:ascii="Times New Roman" w:hAnsi="Times New Roman" w:cs="Times New Roman"/>
          <w:b/>
          <w:color w:val="000000"/>
          <w:szCs w:val="21"/>
          <w:highlight w:val="none"/>
        </w:rPr>
        <w:t>7．合同授予</w:t>
      </w:r>
      <w:bookmarkEnd w:id="24"/>
    </w:p>
    <w:p w14:paraId="74E0D41B">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7.1 定标方式</w:t>
      </w:r>
    </w:p>
    <w:p w14:paraId="602A26F5">
      <w:pPr>
        <w:spacing w:line="360" w:lineRule="auto"/>
        <w:ind w:firstLine="420" w:firstLineChars="200"/>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比选人</w:t>
      </w:r>
      <w:r>
        <w:rPr>
          <w:rFonts w:ascii="Times New Roman" w:hAnsi="Times New Roman" w:cs="Times New Roman"/>
          <w:color w:val="000000"/>
          <w:szCs w:val="21"/>
          <w:highlight w:val="none"/>
        </w:rPr>
        <w:t>依据评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委员会推荐的</w:t>
      </w:r>
      <w:r>
        <w:rPr>
          <w:rFonts w:hint="eastAsia" w:ascii="Times New Roman" w:hAnsi="Times New Roman" w:cs="Times New Roman"/>
          <w:color w:val="000000"/>
          <w:szCs w:val="21"/>
          <w:highlight w:val="none"/>
        </w:rPr>
        <w:t>中选</w:t>
      </w:r>
      <w:r>
        <w:rPr>
          <w:rFonts w:ascii="Times New Roman" w:hAnsi="Times New Roman" w:cs="Times New Roman"/>
          <w:color w:val="000000"/>
          <w:szCs w:val="21"/>
          <w:highlight w:val="none"/>
        </w:rPr>
        <w:t>候选人确定</w:t>
      </w:r>
      <w:r>
        <w:rPr>
          <w:rFonts w:hint="eastAsia" w:ascii="Times New Roman" w:hAnsi="Times New Roman" w:cs="Times New Roman"/>
          <w:color w:val="000000"/>
          <w:szCs w:val="21"/>
          <w:highlight w:val="none"/>
        </w:rPr>
        <w:t>中选</w:t>
      </w:r>
      <w:r>
        <w:rPr>
          <w:rFonts w:ascii="Times New Roman" w:hAnsi="Times New Roman" w:cs="Times New Roman"/>
          <w:color w:val="000000"/>
          <w:szCs w:val="21"/>
          <w:highlight w:val="none"/>
        </w:rPr>
        <w:t>人，评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委员会推荐</w:t>
      </w:r>
      <w:r>
        <w:rPr>
          <w:rFonts w:hint="eastAsia" w:ascii="Times New Roman" w:hAnsi="Times New Roman" w:cs="Times New Roman"/>
          <w:color w:val="000000"/>
          <w:szCs w:val="21"/>
          <w:highlight w:val="none"/>
        </w:rPr>
        <w:t>中选</w:t>
      </w:r>
      <w:r>
        <w:rPr>
          <w:rFonts w:ascii="Times New Roman" w:hAnsi="Times New Roman" w:cs="Times New Roman"/>
          <w:color w:val="000000"/>
          <w:szCs w:val="21"/>
          <w:highlight w:val="none"/>
        </w:rPr>
        <w:t>候选人的人数见</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w:t>
      </w:r>
    </w:p>
    <w:p w14:paraId="2F26B92F">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 xml:space="preserve">7.2 </w:t>
      </w:r>
      <w:r>
        <w:rPr>
          <w:rFonts w:hint="eastAsia" w:ascii="Times New Roman" w:hAnsi="Times New Roman" w:cs="Times New Roman"/>
          <w:b/>
          <w:color w:val="000000"/>
          <w:szCs w:val="21"/>
          <w:highlight w:val="none"/>
        </w:rPr>
        <w:t>中选</w:t>
      </w:r>
      <w:r>
        <w:rPr>
          <w:rFonts w:ascii="Times New Roman" w:hAnsi="Times New Roman" w:cs="Times New Roman"/>
          <w:b/>
          <w:color w:val="000000"/>
          <w:szCs w:val="21"/>
          <w:highlight w:val="none"/>
        </w:rPr>
        <w:t>通知</w:t>
      </w:r>
    </w:p>
    <w:p w14:paraId="5523C0C7">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见</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须知前附表。同时将</w:t>
      </w:r>
      <w:r>
        <w:rPr>
          <w:rFonts w:hint="eastAsia" w:ascii="Times New Roman" w:hAnsi="Times New Roman" w:cs="Times New Roman"/>
          <w:color w:val="000000"/>
          <w:szCs w:val="21"/>
          <w:highlight w:val="none"/>
        </w:rPr>
        <w:t>中选</w:t>
      </w:r>
      <w:r>
        <w:rPr>
          <w:rFonts w:ascii="Times New Roman" w:hAnsi="Times New Roman" w:cs="Times New Roman"/>
          <w:color w:val="000000"/>
          <w:szCs w:val="21"/>
          <w:highlight w:val="none"/>
        </w:rPr>
        <w:t>结果通知未</w:t>
      </w:r>
      <w:r>
        <w:rPr>
          <w:rFonts w:hint="eastAsia" w:ascii="Times New Roman" w:hAnsi="Times New Roman" w:cs="Times New Roman"/>
          <w:color w:val="000000"/>
          <w:szCs w:val="21"/>
          <w:highlight w:val="none"/>
        </w:rPr>
        <w:t>中选</w:t>
      </w:r>
      <w:r>
        <w:rPr>
          <w:rFonts w:ascii="Times New Roman" w:hAnsi="Times New Roman" w:cs="Times New Roman"/>
          <w:color w:val="000000"/>
          <w:szCs w:val="21"/>
          <w:highlight w:val="none"/>
        </w:rPr>
        <w:t>的</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w:t>
      </w:r>
    </w:p>
    <w:p w14:paraId="703EC6AD">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7.3 履约担保</w:t>
      </w:r>
    </w:p>
    <w:p w14:paraId="44078556">
      <w:pPr>
        <w:spacing w:line="360" w:lineRule="auto"/>
        <w:ind w:firstLine="420" w:firstLineChars="200"/>
        <w:rPr>
          <w:rFonts w:ascii="Times New Roman" w:hAnsi="Times New Roman" w:cs="Times New Roman"/>
          <w:b/>
          <w:color w:val="000000"/>
          <w:szCs w:val="21"/>
          <w:highlight w:val="none"/>
        </w:rPr>
      </w:pPr>
      <w:r>
        <w:rPr>
          <w:rFonts w:ascii="Times New Roman" w:hAnsi="Times New Roman" w:cs="Times New Roman"/>
          <w:color w:val="000000"/>
          <w:szCs w:val="21"/>
          <w:highlight w:val="none"/>
        </w:rPr>
        <w:t>见</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w:t>
      </w:r>
    </w:p>
    <w:p w14:paraId="1D0DA574">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7.4 签订合同</w:t>
      </w:r>
    </w:p>
    <w:p w14:paraId="1CDC1F5C">
      <w:pPr>
        <w:spacing w:line="360" w:lineRule="auto"/>
        <w:ind w:firstLine="420" w:firstLineChars="200"/>
        <w:rPr>
          <w:rFonts w:ascii="Times New Roman" w:hAnsi="Times New Roman" w:cs="Times New Roman"/>
          <w:color w:val="000000"/>
          <w:szCs w:val="21"/>
          <w:highlight w:val="none"/>
        </w:rPr>
      </w:pPr>
      <w:r>
        <w:rPr>
          <w:rFonts w:hint="eastAsia" w:ascii="Times New Roman" w:hAnsi="Times New Roman" w:cs="Times New Roman"/>
          <w:szCs w:val="21"/>
          <w:highlight w:val="none"/>
        </w:rPr>
        <w:t>中选</w:t>
      </w:r>
      <w:r>
        <w:rPr>
          <w:rFonts w:ascii="Times New Roman" w:hAnsi="Times New Roman" w:cs="Times New Roman"/>
          <w:szCs w:val="21"/>
          <w:highlight w:val="none"/>
        </w:rPr>
        <w:t>人自</w:t>
      </w:r>
      <w:r>
        <w:rPr>
          <w:rFonts w:hint="eastAsia" w:ascii="Times New Roman" w:hAnsi="Times New Roman" w:cs="Times New Roman"/>
          <w:szCs w:val="21"/>
          <w:highlight w:val="none"/>
        </w:rPr>
        <w:t>中选</w:t>
      </w:r>
      <w:r>
        <w:rPr>
          <w:rFonts w:ascii="Times New Roman" w:hAnsi="Times New Roman" w:cs="Times New Roman"/>
          <w:szCs w:val="21"/>
          <w:highlight w:val="none"/>
        </w:rPr>
        <w:t>通知书发出之日起30日内</w:t>
      </w:r>
      <w:r>
        <w:rPr>
          <w:rFonts w:ascii="Times New Roman" w:hAnsi="Times New Roman" w:cs="Times New Roman"/>
          <w:color w:val="000000"/>
          <w:szCs w:val="21"/>
          <w:highlight w:val="none"/>
        </w:rPr>
        <w:t>，根据</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文件和</w:t>
      </w:r>
      <w:r>
        <w:rPr>
          <w:rFonts w:hint="eastAsia" w:ascii="Times New Roman" w:hAnsi="Times New Roman" w:cs="Times New Roman"/>
          <w:color w:val="000000"/>
          <w:szCs w:val="21"/>
          <w:highlight w:val="none"/>
        </w:rPr>
        <w:t>中选</w:t>
      </w:r>
      <w:r>
        <w:rPr>
          <w:rFonts w:ascii="Times New Roman" w:hAnsi="Times New Roman" w:cs="Times New Roman"/>
          <w:color w:val="000000"/>
          <w:szCs w:val="21"/>
          <w:highlight w:val="none"/>
        </w:rPr>
        <w:t>人的</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订立书面合同。</w:t>
      </w:r>
      <w:r>
        <w:rPr>
          <w:rFonts w:hint="eastAsia" w:ascii="Times New Roman" w:hAnsi="Times New Roman" w:cs="Times New Roman"/>
          <w:color w:val="000000"/>
          <w:szCs w:val="21"/>
          <w:highlight w:val="none"/>
        </w:rPr>
        <w:t>中选</w:t>
      </w:r>
      <w:r>
        <w:rPr>
          <w:rFonts w:ascii="Times New Roman" w:hAnsi="Times New Roman" w:cs="Times New Roman"/>
          <w:color w:val="000000"/>
          <w:szCs w:val="21"/>
          <w:highlight w:val="none"/>
        </w:rPr>
        <w:t>人无正当理由拒签合同的，</w:t>
      </w:r>
      <w:r>
        <w:rPr>
          <w:rFonts w:hint="eastAsia" w:ascii="Times New Roman" w:hAnsi="Times New Roman" w:cs="Times New Roman"/>
          <w:color w:val="000000"/>
          <w:szCs w:val="21"/>
          <w:highlight w:val="none"/>
        </w:rPr>
        <w:t>比选人</w:t>
      </w:r>
      <w:r>
        <w:rPr>
          <w:rFonts w:ascii="Times New Roman" w:hAnsi="Times New Roman" w:cs="Times New Roman"/>
          <w:color w:val="000000"/>
          <w:szCs w:val="21"/>
          <w:highlight w:val="none"/>
        </w:rPr>
        <w:t>取消其</w:t>
      </w:r>
      <w:r>
        <w:rPr>
          <w:rFonts w:hint="eastAsia" w:ascii="Times New Roman" w:hAnsi="Times New Roman" w:cs="Times New Roman"/>
          <w:color w:val="000000"/>
          <w:szCs w:val="21"/>
          <w:highlight w:val="none"/>
        </w:rPr>
        <w:t>中选</w:t>
      </w:r>
      <w:r>
        <w:rPr>
          <w:rFonts w:ascii="Times New Roman" w:hAnsi="Times New Roman" w:cs="Times New Roman"/>
          <w:color w:val="000000"/>
          <w:szCs w:val="21"/>
          <w:highlight w:val="none"/>
        </w:rPr>
        <w:t>资格，给</w:t>
      </w:r>
      <w:r>
        <w:rPr>
          <w:rFonts w:hint="eastAsia" w:ascii="Times New Roman" w:hAnsi="Times New Roman" w:cs="Times New Roman"/>
          <w:color w:val="000000"/>
          <w:szCs w:val="21"/>
          <w:highlight w:val="none"/>
        </w:rPr>
        <w:t>比选人</w:t>
      </w:r>
      <w:r>
        <w:rPr>
          <w:rFonts w:ascii="Times New Roman" w:hAnsi="Times New Roman" w:cs="Times New Roman"/>
          <w:color w:val="000000"/>
          <w:szCs w:val="21"/>
          <w:highlight w:val="none"/>
        </w:rPr>
        <w:t>造成损失的，</w:t>
      </w:r>
      <w:r>
        <w:rPr>
          <w:rFonts w:hint="eastAsia" w:ascii="Times New Roman" w:hAnsi="Times New Roman" w:cs="Times New Roman"/>
          <w:color w:val="000000"/>
          <w:szCs w:val="21"/>
          <w:highlight w:val="none"/>
        </w:rPr>
        <w:t>中选</w:t>
      </w:r>
      <w:r>
        <w:rPr>
          <w:rFonts w:ascii="Times New Roman" w:hAnsi="Times New Roman" w:cs="Times New Roman"/>
          <w:color w:val="000000"/>
          <w:szCs w:val="21"/>
          <w:highlight w:val="none"/>
        </w:rPr>
        <w:t>人应当予以赔偿。</w:t>
      </w:r>
    </w:p>
    <w:p w14:paraId="65637874">
      <w:pPr>
        <w:spacing w:line="360" w:lineRule="auto"/>
        <w:outlineLvl w:val="0"/>
        <w:rPr>
          <w:rFonts w:ascii="Times New Roman" w:hAnsi="Times New Roman" w:cs="Times New Roman"/>
          <w:b/>
          <w:color w:val="000000"/>
          <w:szCs w:val="21"/>
          <w:highlight w:val="none"/>
        </w:rPr>
      </w:pPr>
      <w:bookmarkStart w:id="25" w:name="_Toc12759"/>
      <w:r>
        <w:rPr>
          <w:rFonts w:ascii="Times New Roman" w:hAnsi="Times New Roman" w:cs="Times New Roman"/>
          <w:b/>
          <w:color w:val="000000"/>
          <w:szCs w:val="21"/>
          <w:highlight w:val="none"/>
        </w:rPr>
        <w:t>8．重新</w:t>
      </w:r>
      <w:r>
        <w:rPr>
          <w:rFonts w:hint="eastAsia" w:ascii="Times New Roman" w:hAnsi="Times New Roman" w:cs="Times New Roman"/>
          <w:b/>
          <w:color w:val="000000"/>
          <w:szCs w:val="21"/>
          <w:highlight w:val="none"/>
        </w:rPr>
        <w:t>比选</w:t>
      </w:r>
      <w:r>
        <w:rPr>
          <w:rFonts w:ascii="Times New Roman" w:hAnsi="Times New Roman" w:cs="Times New Roman"/>
          <w:b/>
          <w:color w:val="000000"/>
          <w:szCs w:val="21"/>
          <w:highlight w:val="none"/>
        </w:rPr>
        <w:t>和不再</w:t>
      </w:r>
      <w:r>
        <w:rPr>
          <w:rFonts w:hint="eastAsia" w:ascii="Times New Roman" w:hAnsi="Times New Roman" w:cs="Times New Roman"/>
          <w:b/>
          <w:color w:val="000000"/>
          <w:szCs w:val="21"/>
          <w:highlight w:val="none"/>
        </w:rPr>
        <w:t>比选</w:t>
      </w:r>
      <w:bookmarkEnd w:id="25"/>
    </w:p>
    <w:p w14:paraId="7B467824">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8.1 重新</w:t>
      </w:r>
      <w:r>
        <w:rPr>
          <w:rFonts w:hint="eastAsia" w:ascii="Times New Roman" w:hAnsi="Times New Roman" w:cs="Times New Roman"/>
          <w:b/>
          <w:color w:val="000000"/>
          <w:szCs w:val="21"/>
          <w:highlight w:val="none"/>
        </w:rPr>
        <w:t>比选</w:t>
      </w:r>
    </w:p>
    <w:p w14:paraId="136837C0">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有下列情形之一的，</w:t>
      </w:r>
      <w:r>
        <w:rPr>
          <w:rFonts w:hint="eastAsia" w:ascii="Times New Roman" w:hAnsi="Times New Roman" w:cs="Times New Roman"/>
          <w:color w:val="000000"/>
          <w:szCs w:val="21"/>
          <w:highlight w:val="none"/>
        </w:rPr>
        <w:t>比选人</w:t>
      </w:r>
      <w:r>
        <w:rPr>
          <w:rFonts w:ascii="Times New Roman" w:hAnsi="Times New Roman" w:cs="Times New Roman"/>
          <w:color w:val="000000"/>
          <w:szCs w:val="21"/>
          <w:highlight w:val="none"/>
        </w:rPr>
        <w:t>将重新</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w:t>
      </w:r>
    </w:p>
    <w:p w14:paraId="2682A412">
      <w:pPr>
        <w:spacing w:line="360" w:lineRule="auto"/>
        <w:ind w:firstLine="359" w:firstLineChars="171"/>
        <w:rPr>
          <w:rFonts w:ascii="Times New Roman" w:hAnsi="Times New Roman" w:cs="Times New Roman"/>
          <w:color w:val="000000"/>
          <w:szCs w:val="21"/>
          <w:highlight w:val="none"/>
        </w:rPr>
      </w:pPr>
      <w:r>
        <w:rPr>
          <w:rFonts w:ascii="Times New Roman" w:hAnsi="Times New Roman" w:cs="Times New Roman"/>
          <w:color w:val="000000"/>
          <w:szCs w:val="21"/>
          <w:highlight w:val="none"/>
        </w:rPr>
        <w:t>（1）</w:t>
      </w:r>
      <w:r>
        <w:rPr>
          <w:rFonts w:hint="eastAsia" w:ascii="Times New Roman" w:hAnsi="Times New Roman" w:cs="Times New Roman"/>
          <w:color w:val="000000"/>
          <w:szCs w:val="21"/>
          <w:highlight w:val="none"/>
        </w:rPr>
        <w:t>至</w:t>
      </w:r>
      <w:r>
        <w:rPr>
          <w:rFonts w:hint="eastAsia" w:ascii="Times New Roman" w:hAnsi="Times New Roman" w:cs="Times New Roman"/>
          <w:kern w:val="0"/>
          <w:szCs w:val="21"/>
          <w:highlight w:val="none"/>
        </w:rPr>
        <w:t>比选申请文件</w:t>
      </w:r>
      <w:r>
        <w:rPr>
          <w:rFonts w:ascii="Times New Roman" w:hAnsi="Times New Roman" w:cs="Times New Roman"/>
          <w:kern w:val="0"/>
          <w:szCs w:val="21"/>
          <w:highlight w:val="none"/>
        </w:rPr>
        <w:t>递交截止时间</w:t>
      </w:r>
      <w:r>
        <w:rPr>
          <w:rFonts w:ascii="Times New Roman" w:hAnsi="Times New Roman" w:cs="Times New Roman"/>
          <w:color w:val="000000"/>
          <w:szCs w:val="21"/>
          <w:highlight w:val="none"/>
        </w:rPr>
        <w:t>止，</w:t>
      </w:r>
      <w:r>
        <w:rPr>
          <w:rFonts w:hint="eastAsia" w:ascii="宋体" w:hAnsi="宋体"/>
          <w:kern w:val="0"/>
          <w:szCs w:val="21"/>
          <w:highlight w:val="none"/>
        </w:rPr>
        <w:t>递交比选申请文件的比选申请人少于三个的</w:t>
      </w:r>
      <w:r>
        <w:rPr>
          <w:rFonts w:ascii="Times New Roman" w:hAnsi="Times New Roman" w:cs="Times New Roman"/>
          <w:color w:val="000000"/>
          <w:szCs w:val="21"/>
          <w:highlight w:val="none"/>
        </w:rPr>
        <w:t>；</w:t>
      </w:r>
    </w:p>
    <w:p w14:paraId="3724965B">
      <w:pPr>
        <w:spacing w:line="360" w:lineRule="auto"/>
        <w:ind w:firstLine="359" w:firstLineChars="171"/>
        <w:rPr>
          <w:rFonts w:ascii="宋体" w:hAnsi="宋体"/>
          <w:kern w:val="0"/>
          <w:szCs w:val="21"/>
          <w:highlight w:val="none"/>
        </w:rPr>
      </w:pPr>
      <w:r>
        <w:rPr>
          <w:rFonts w:ascii="Times New Roman" w:hAnsi="Times New Roman" w:cs="Times New Roman"/>
          <w:color w:val="000000"/>
          <w:szCs w:val="21"/>
          <w:highlight w:val="none"/>
        </w:rPr>
        <w:t>（2）经评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委员会评审后否</w:t>
      </w:r>
      <w:r>
        <w:rPr>
          <w:rFonts w:hint="eastAsia" w:ascii="宋体" w:hAnsi="宋体"/>
          <w:kern w:val="0"/>
          <w:szCs w:val="21"/>
          <w:highlight w:val="none"/>
        </w:rPr>
        <w:t>决所有比选申请的；</w:t>
      </w:r>
    </w:p>
    <w:p w14:paraId="2D592A74">
      <w:pPr>
        <w:spacing w:line="360" w:lineRule="auto"/>
        <w:ind w:firstLine="359" w:firstLineChars="171"/>
        <w:rPr>
          <w:rFonts w:ascii="宋体" w:hAnsi="宋体"/>
          <w:kern w:val="0"/>
          <w:szCs w:val="21"/>
          <w:highlight w:val="none"/>
        </w:rPr>
      </w:pPr>
      <w:r>
        <w:rPr>
          <w:rFonts w:hint="eastAsia" w:ascii="宋体" w:hAnsi="宋体"/>
          <w:kern w:val="0"/>
          <w:szCs w:val="21"/>
          <w:highlight w:val="none"/>
        </w:rPr>
        <w:t>（3）评</w:t>
      </w:r>
      <w:r>
        <w:rPr>
          <w:rFonts w:hint="eastAsia" w:ascii="宋体" w:hAnsi="宋体"/>
          <w:kern w:val="0"/>
          <w:szCs w:val="21"/>
          <w:highlight w:val="none"/>
          <w:lang w:val="en-US" w:eastAsia="zh-CN"/>
        </w:rPr>
        <w:t>审</w:t>
      </w:r>
      <w:r>
        <w:rPr>
          <w:rFonts w:hint="eastAsia" w:ascii="宋体" w:hAnsi="宋体"/>
          <w:kern w:val="0"/>
          <w:szCs w:val="21"/>
          <w:highlight w:val="none"/>
        </w:rPr>
        <w:t>委员会推荐的中选候选人均未能与比选人签订合同协议书的；</w:t>
      </w:r>
    </w:p>
    <w:p w14:paraId="39866CF5">
      <w:pPr>
        <w:spacing w:line="360" w:lineRule="auto"/>
        <w:ind w:firstLine="359" w:firstLineChars="171"/>
        <w:rPr>
          <w:rFonts w:ascii="宋体" w:hAnsi="宋体"/>
          <w:kern w:val="0"/>
          <w:szCs w:val="21"/>
          <w:highlight w:val="none"/>
        </w:rPr>
      </w:pPr>
      <w:r>
        <w:rPr>
          <w:rFonts w:hint="eastAsia" w:ascii="宋体" w:hAnsi="宋体"/>
          <w:kern w:val="0"/>
          <w:szCs w:val="21"/>
          <w:highlight w:val="none"/>
        </w:rPr>
        <w:t>（4）法律规定的其他情形。</w:t>
      </w:r>
    </w:p>
    <w:p w14:paraId="55B9C76E">
      <w:pPr>
        <w:spacing w:line="360" w:lineRule="auto"/>
        <w:outlineLvl w:val="0"/>
        <w:rPr>
          <w:rFonts w:ascii="Times New Roman" w:hAnsi="Times New Roman" w:cs="Times New Roman"/>
          <w:b/>
          <w:color w:val="000000"/>
          <w:szCs w:val="21"/>
          <w:highlight w:val="none"/>
        </w:rPr>
      </w:pPr>
      <w:bookmarkStart w:id="26" w:name="_Toc5522"/>
      <w:r>
        <w:rPr>
          <w:rFonts w:ascii="Times New Roman" w:hAnsi="Times New Roman" w:cs="Times New Roman"/>
          <w:b/>
          <w:color w:val="000000"/>
          <w:szCs w:val="21"/>
          <w:highlight w:val="none"/>
        </w:rPr>
        <w:t>9．纪律和监督</w:t>
      </w:r>
      <w:bookmarkEnd w:id="26"/>
    </w:p>
    <w:p w14:paraId="6B613543">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9.1 对</w:t>
      </w:r>
      <w:r>
        <w:rPr>
          <w:rFonts w:hint="eastAsia" w:ascii="Times New Roman" w:hAnsi="Times New Roman" w:cs="Times New Roman"/>
          <w:b/>
          <w:color w:val="000000"/>
          <w:szCs w:val="21"/>
          <w:highlight w:val="none"/>
        </w:rPr>
        <w:t>比选人</w:t>
      </w:r>
      <w:r>
        <w:rPr>
          <w:rFonts w:ascii="Times New Roman" w:hAnsi="Times New Roman" w:cs="Times New Roman"/>
          <w:b/>
          <w:color w:val="000000"/>
          <w:szCs w:val="21"/>
          <w:highlight w:val="none"/>
        </w:rPr>
        <w:t>的纪律要求</w:t>
      </w:r>
    </w:p>
    <w:p w14:paraId="23097219">
      <w:pPr>
        <w:spacing w:line="360" w:lineRule="auto"/>
        <w:ind w:firstLine="420" w:firstLineChars="200"/>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比选人</w:t>
      </w:r>
      <w:r>
        <w:rPr>
          <w:rFonts w:ascii="Times New Roman" w:hAnsi="Times New Roman" w:cs="Times New Roman"/>
          <w:color w:val="000000"/>
          <w:szCs w:val="21"/>
          <w:highlight w:val="none"/>
        </w:rPr>
        <w:t>不得</w:t>
      </w:r>
      <w:r>
        <w:rPr>
          <w:rFonts w:hint="eastAsia" w:ascii="Times New Roman" w:hAnsi="Times New Roman" w:cs="Times New Roman"/>
          <w:color w:val="000000"/>
          <w:szCs w:val="21"/>
          <w:highlight w:val="none"/>
          <w:lang w:eastAsia="zh-CN"/>
        </w:rPr>
        <w:t>泄露</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活动中应当保密的情况和资料，不得与</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串通损害国家利益、社会公共利益或者他人合法权益。</w:t>
      </w:r>
    </w:p>
    <w:p w14:paraId="68C8501E">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9.2 对</w:t>
      </w:r>
      <w:r>
        <w:rPr>
          <w:rFonts w:hint="eastAsia" w:ascii="Times New Roman" w:hAnsi="Times New Roman" w:cs="Times New Roman"/>
          <w:b/>
          <w:color w:val="000000"/>
          <w:szCs w:val="21"/>
          <w:highlight w:val="none"/>
        </w:rPr>
        <w:t>比选申请人</w:t>
      </w:r>
      <w:r>
        <w:rPr>
          <w:rFonts w:ascii="Times New Roman" w:hAnsi="Times New Roman" w:cs="Times New Roman"/>
          <w:b/>
          <w:color w:val="000000"/>
          <w:szCs w:val="21"/>
          <w:highlight w:val="none"/>
        </w:rPr>
        <w:t>的纪律要求</w:t>
      </w:r>
    </w:p>
    <w:p w14:paraId="6A0B0C71">
      <w:pPr>
        <w:spacing w:line="360" w:lineRule="auto"/>
        <w:ind w:firstLine="420" w:firstLineChars="200"/>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不得相互串通</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或者与</w:t>
      </w:r>
      <w:r>
        <w:rPr>
          <w:rFonts w:hint="eastAsia" w:ascii="Times New Roman" w:hAnsi="Times New Roman" w:cs="Times New Roman"/>
          <w:color w:val="000000"/>
          <w:szCs w:val="21"/>
          <w:highlight w:val="none"/>
        </w:rPr>
        <w:t>比选人</w:t>
      </w:r>
      <w:r>
        <w:rPr>
          <w:rFonts w:ascii="Times New Roman" w:hAnsi="Times New Roman" w:cs="Times New Roman"/>
          <w:color w:val="000000"/>
          <w:szCs w:val="21"/>
          <w:highlight w:val="none"/>
        </w:rPr>
        <w:t>串通</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，不得向</w:t>
      </w:r>
      <w:r>
        <w:rPr>
          <w:rFonts w:hint="eastAsia" w:ascii="Times New Roman" w:hAnsi="Times New Roman" w:cs="Times New Roman"/>
          <w:color w:val="000000"/>
          <w:szCs w:val="21"/>
          <w:highlight w:val="none"/>
        </w:rPr>
        <w:t>比选人</w:t>
      </w:r>
      <w:r>
        <w:rPr>
          <w:rFonts w:ascii="Times New Roman" w:hAnsi="Times New Roman" w:cs="Times New Roman"/>
          <w:color w:val="000000"/>
          <w:szCs w:val="21"/>
          <w:highlight w:val="none"/>
        </w:rPr>
        <w:t>或者评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委员会成员行贿谋取</w:t>
      </w:r>
      <w:r>
        <w:rPr>
          <w:rFonts w:hint="eastAsia" w:ascii="Times New Roman" w:hAnsi="Times New Roman" w:cs="Times New Roman"/>
          <w:color w:val="000000"/>
          <w:szCs w:val="21"/>
          <w:highlight w:val="none"/>
        </w:rPr>
        <w:t>中选</w:t>
      </w:r>
      <w:r>
        <w:rPr>
          <w:rFonts w:ascii="Times New Roman" w:hAnsi="Times New Roman" w:cs="Times New Roman"/>
          <w:color w:val="000000"/>
          <w:szCs w:val="21"/>
          <w:highlight w:val="none"/>
        </w:rPr>
        <w:t>，不得以他人名义</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或者以其他方式弄虚作假骗取</w:t>
      </w:r>
      <w:r>
        <w:rPr>
          <w:rFonts w:hint="eastAsia" w:ascii="Times New Roman" w:hAnsi="Times New Roman" w:cs="Times New Roman"/>
          <w:color w:val="000000"/>
          <w:szCs w:val="21"/>
          <w:highlight w:val="none"/>
        </w:rPr>
        <w:t>中选</w:t>
      </w:r>
      <w:r>
        <w:rPr>
          <w:rFonts w:ascii="Times New Roman" w:hAnsi="Times New Roman" w:cs="Times New Roman"/>
          <w:color w:val="000000"/>
          <w:szCs w:val="21"/>
          <w:highlight w:val="none"/>
        </w:rPr>
        <w:t>；</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不得以任何方式干扰、影响评审工作。</w:t>
      </w:r>
    </w:p>
    <w:p w14:paraId="27348859">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9.3 对评</w:t>
      </w:r>
      <w:r>
        <w:rPr>
          <w:rFonts w:hint="eastAsia" w:ascii="Times New Roman" w:hAnsi="Times New Roman" w:cs="Times New Roman"/>
          <w:b/>
          <w:color w:val="000000"/>
          <w:szCs w:val="21"/>
          <w:highlight w:val="none"/>
          <w:lang w:val="en-US" w:eastAsia="zh-CN"/>
        </w:rPr>
        <w:t>审</w:t>
      </w:r>
      <w:r>
        <w:rPr>
          <w:rFonts w:ascii="Times New Roman" w:hAnsi="Times New Roman" w:cs="Times New Roman"/>
          <w:b/>
          <w:color w:val="000000"/>
          <w:szCs w:val="21"/>
          <w:highlight w:val="none"/>
        </w:rPr>
        <w:t>委员会成员的纪律要求</w:t>
      </w:r>
    </w:p>
    <w:p w14:paraId="67189107">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委员会成员不得收受他人的财物或者其他好处，不得向他人</w:t>
      </w:r>
      <w:r>
        <w:rPr>
          <w:rFonts w:hint="eastAsia" w:ascii="Times New Roman" w:hAnsi="Times New Roman" w:cs="Times New Roman"/>
          <w:color w:val="000000"/>
          <w:szCs w:val="21"/>
          <w:highlight w:val="none"/>
          <w:lang w:eastAsia="zh-CN"/>
        </w:rPr>
        <w:t>透露</w:t>
      </w:r>
      <w:r>
        <w:rPr>
          <w:rFonts w:ascii="Times New Roman" w:hAnsi="Times New Roman" w:cs="Times New Roman"/>
          <w:color w:val="000000"/>
          <w:szCs w:val="21"/>
          <w:highlight w:val="none"/>
        </w:rPr>
        <w:t>对</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的评审和比较、</w:t>
      </w:r>
      <w:r>
        <w:rPr>
          <w:rFonts w:hint="eastAsia" w:ascii="Times New Roman" w:hAnsi="Times New Roman" w:cs="Times New Roman"/>
          <w:color w:val="000000"/>
          <w:szCs w:val="21"/>
          <w:highlight w:val="none"/>
        </w:rPr>
        <w:t>中选</w:t>
      </w:r>
      <w:r>
        <w:rPr>
          <w:rFonts w:ascii="Times New Roman" w:hAnsi="Times New Roman" w:cs="Times New Roman"/>
          <w:color w:val="000000"/>
          <w:szCs w:val="21"/>
          <w:highlight w:val="none"/>
        </w:rPr>
        <w:t>候选人的推荐情况以及评审有关的其他情况。在评审活动中，评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委员会成员不得擅离职守，影响评审程序正常进行，不得使用第三章“评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办法”没有规定的评审因素和标准进行评审。</w:t>
      </w:r>
    </w:p>
    <w:p w14:paraId="54A779C0">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9.4 对与评审活动有关的工作人员的纪律要求</w:t>
      </w:r>
    </w:p>
    <w:p w14:paraId="52DDE08E">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与评审活动有关的工作人员不得收受他人的财物或者其他好处，不得向他人</w:t>
      </w:r>
      <w:r>
        <w:rPr>
          <w:rFonts w:hint="eastAsia" w:ascii="Times New Roman" w:hAnsi="Times New Roman" w:cs="Times New Roman"/>
          <w:color w:val="000000"/>
          <w:szCs w:val="21"/>
          <w:highlight w:val="none"/>
          <w:lang w:eastAsia="zh-CN"/>
        </w:rPr>
        <w:t>透露</w:t>
      </w:r>
      <w:r>
        <w:rPr>
          <w:rFonts w:ascii="Times New Roman" w:hAnsi="Times New Roman" w:cs="Times New Roman"/>
          <w:color w:val="000000"/>
          <w:szCs w:val="21"/>
          <w:highlight w:val="none"/>
        </w:rPr>
        <w:t>对</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的评审和比较、</w:t>
      </w:r>
      <w:r>
        <w:rPr>
          <w:rFonts w:hint="eastAsia" w:ascii="Times New Roman" w:hAnsi="Times New Roman" w:cs="Times New Roman"/>
          <w:color w:val="000000"/>
          <w:szCs w:val="21"/>
          <w:highlight w:val="none"/>
        </w:rPr>
        <w:t>中选</w:t>
      </w:r>
      <w:r>
        <w:rPr>
          <w:rFonts w:ascii="Times New Roman" w:hAnsi="Times New Roman" w:cs="Times New Roman"/>
          <w:color w:val="000000"/>
          <w:szCs w:val="21"/>
          <w:highlight w:val="none"/>
        </w:rPr>
        <w:t>候选人的推荐情况以及评审有关的其他情况。在评审活动中，与评审活动有关的工作人员不得擅离职守，影响评审程序正常进行。</w:t>
      </w:r>
    </w:p>
    <w:p w14:paraId="05AB9E3B">
      <w:pPr>
        <w:spacing w:line="360" w:lineRule="auto"/>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9.5 投诉</w:t>
      </w:r>
    </w:p>
    <w:p w14:paraId="5431787D">
      <w:pPr>
        <w:spacing w:before="0" w:after="0" w:line="360" w:lineRule="auto"/>
        <w:ind w:firstLine="420" w:firstLineChars="200"/>
        <w:jc w:val="left"/>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和其他利害关系人认为本次</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活动违反</w:t>
      </w:r>
      <w:r>
        <w:rPr>
          <w:rFonts w:hint="eastAsia" w:ascii="Times New Roman" w:hAnsi="Times New Roman" w:cs="Times New Roman"/>
          <w:color w:val="000000"/>
          <w:szCs w:val="21"/>
          <w:highlight w:val="none"/>
          <w:lang w:eastAsia="zh-CN"/>
        </w:rPr>
        <w:t>法律法规</w:t>
      </w:r>
      <w:r>
        <w:rPr>
          <w:rFonts w:ascii="Times New Roman" w:hAnsi="Times New Roman" w:cs="Times New Roman"/>
          <w:color w:val="000000"/>
          <w:szCs w:val="21"/>
          <w:highlight w:val="none"/>
        </w:rPr>
        <w:t>和规章规定的，有权向有关行政监督部门投诉。</w:t>
      </w:r>
    </w:p>
    <w:p w14:paraId="654FFB27">
      <w:pPr>
        <w:pStyle w:val="14"/>
        <w:rPr>
          <w:rFonts w:ascii="Times New Roman" w:hAnsi="Times New Roman" w:cs="Times New Roman"/>
          <w:color w:val="000000"/>
          <w:szCs w:val="21"/>
          <w:highlight w:val="none"/>
        </w:rPr>
      </w:pPr>
    </w:p>
    <w:p w14:paraId="669A1CB8">
      <w:pPr>
        <w:rPr>
          <w:rFonts w:ascii="Times New Roman" w:hAnsi="Times New Roman" w:cs="Times New Roman"/>
          <w:color w:val="000000"/>
          <w:szCs w:val="21"/>
          <w:highlight w:val="none"/>
        </w:rPr>
      </w:pPr>
    </w:p>
    <w:p w14:paraId="50D3A551">
      <w:pPr>
        <w:pStyle w:val="14"/>
        <w:rPr>
          <w:rFonts w:ascii="Times New Roman" w:hAnsi="Times New Roman" w:cs="Times New Roman"/>
          <w:color w:val="000000"/>
          <w:szCs w:val="21"/>
          <w:highlight w:val="none"/>
        </w:rPr>
      </w:pPr>
    </w:p>
    <w:p w14:paraId="7C23B57C">
      <w:pPr>
        <w:rPr>
          <w:rFonts w:ascii="Times New Roman" w:hAnsi="Times New Roman" w:cs="Times New Roman"/>
          <w:color w:val="000000"/>
          <w:szCs w:val="21"/>
          <w:highlight w:val="none"/>
        </w:rPr>
      </w:pPr>
    </w:p>
    <w:p w14:paraId="6580B488">
      <w:pPr>
        <w:pStyle w:val="14"/>
        <w:rPr>
          <w:rFonts w:ascii="Times New Roman" w:hAnsi="Times New Roman" w:cs="Times New Roman"/>
          <w:color w:val="000000"/>
          <w:szCs w:val="21"/>
          <w:highlight w:val="none"/>
        </w:rPr>
      </w:pPr>
    </w:p>
    <w:p w14:paraId="01885E6C">
      <w:pPr>
        <w:rPr>
          <w:rFonts w:ascii="Times New Roman" w:hAnsi="Times New Roman" w:cs="Times New Roman"/>
          <w:color w:val="000000"/>
          <w:szCs w:val="21"/>
          <w:highlight w:val="none"/>
        </w:rPr>
      </w:pPr>
    </w:p>
    <w:p w14:paraId="6B074ABE">
      <w:pPr>
        <w:pStyle w:val="14"/>
        <w:rPr>
          <w:rFonts w:ascii="Times New Roman" w:hAnsi="Times New Roman" w:cs="Times New Roman"/>
          <w:color w:val="000000"/>
          <w:szCs w:val="21"/>
          <w:highlight w:val="none"/>
        </w:rPr>
      </w:pPr>
    </w:p>
    <w:p w14:paraId="0D78C1FB">
      <w:pPr>
        <w:rPr>
          <w:rFonts w:ascii="Times New Roman" w:hAnsi="Times New Roman" w:cs="Times New Roman"/>
          <w:color w:val="000000"/>
          <w:szCs w:val="21"/>
          <w:highlight w:val="none"/>
        </w:rPr>
      </w:pPr>
    </w:p>
    <w:p w14:paraId="07BF5B03">
      <w:pPr>
        <w:pStyle w:val="14"/>
        <w:rPr>
          <w:rFonts w:ascii="Times New Roman" w:hAnsi="Times New Roman" w:cs="Times New Roman"/>
          <w:color w:val="000000"/>
          <w:szCs w:val="21"/>
          <w:highlight w:val="none"/>
        </w:rPr>
      </w:pPr>
    </w:p>
    <w:p w14:paraId="1183C54C">
      <w:pPr>
        <w:rPr>
          <w:rFonts w:ascii="Times New Roman" w:hAnsi="Times New Roman" w:cs="Times New Roman"/>
          <w:color w:val="000000"/>
          <w:szCs w:val="21"/>
          <w:highlight w:val="none"/>
        </w:rPr>
      </w:pPr>
    </w:p>
    <w:p w14:paraId="7A387B00">
      <w:pPr>
        <w:pStyle w:val="14"/>
        <w:rPr>
          <w:rFonts w:ascii="Times New Roman" w:hAnsi="Times New Roman" w:cs="Times New Roman"/>
          <w:color w:val="000000"/>
          <w:szCs w:val="21"/>
          <w:highlight w:val="none"/>
        </w:rPr>
      </w:pPr>
    </w:p>
    <w:p w14:paraId="48597B21">
      <w:pPr>
        <w:rPr>
          <w:rFonts w:ascii="Times New Roman" w:hAnsi="Times New Roman" w:cs="Times New Roman"/>
          <w:color w:val="000000"/>
          <w:szCs w:val="21"/>
          <w:highlight w:val="none"/>
        </w:rPr>
      </w:pPr>
    </w:p>
    <w:p w14:paraId="01385D76">
      <w:pPr>
        <w:pStyle w:val="14"/>
        <w:rPr>
          <w:rFonts w:ascii="Times New Roman" w:hAnsi="Times New Roman" w:cs="Times New Roman"/>
          <w:color w:val="000000"/>
          <w:szCs w:val="21"/>
          <w:highlight w:val="none"/>
        </w:rPr>
      </w:pPr>
    </w:p>
    <w:p w14:paraId="593CAFB4">
      <w:pPr>
        <w:rPr>
          <w:rFonts w:ascii="Times New Roman" w:hAnsi="Times New Roman" w:cs="Times New Roman"/>
          <w:color w:val="000000"/>
          <w:szCs w:val="21"/>
          <w:highlight w:val="none"/>
        </w:rPr>
      </w:pPr>
    </w:p>
    <w:p w14:paraId="0E56A71C">
      <w:pPr>
        <w:pStyle w:val="14"/>
        <w:rPr>
          <w:rFonts w:ascii="Times New Roman" w:hAnsi="Times New Roman" w:cs="Times New Roman"/>
          <w:color w:val="000000"/>
          <w:szCs w:val="21"/>
          <w:highlight w:val="none"/>
        </w:rPr>
      </w:pPr>
    </w:p>
    <w:p w14:paraId="3B3A2A9E">
      <w:pPr>
        <w:rPr>
          <w:rFonts w:ascii="Times New Roman" w:hAnsi="Times New Roman" w:cs="Times New Roman"/>
          <w:color w:val="000000"/>
          <w:szCs w:val="21"/>
          <w:highlight w:val="none"/>
        </w:rPr>
      </w:pPr>
    </w:p>
    <w:p w14:paraId="4EE86855">
      <w:pPr>
        <w:pStyle w:val="14"/>
        <w:rPr>
          <w:rFonts w:ascii="Times New Roman" w:hAnsi="Times New Roman" w:cs="Times New Roman"/>
          <w:color w:val="000000"/>
          <w:szCs w:val="21"/>
          <w:highlight w:val="none"/>
        </w:rPr>
      </w:pPr>
    </w:p>
    <w:p w14:paraId="12EF82C5">
      <w:pPr>
        <w:rPr>
          <w:rFonts w:ascii="Times New Roman" w:hAnsi="Times New Roman" w:cs="Times New Roman"/>
          <w:color w:val="000000"/>
          <w:szCs w:val="21"/>
          <w:highlight w:val="none"/>
        </w:rPr>
      </w:pPr>
    </w:p>
    <w:p w14:paraId="0DB62073">
      <w:pPr>
        <w:pStyle w:val="14"/>
        <w:rPr>
          <w:rFonts w:ascii="Times New Roman" w:hAnsi="Times New Roman" w:cs="Times New Roman"/>
          <w:color w:val="000000"/>
          <w:szCs w:val="21"/>
          <w:highlight w:val="none"/>
        </w:rPr>
      </w:pPr>
    </w:p>
    <w:p w14:paraId="7CDB8015"/>
    <w:p w14:paraId="21F58908">
      <w:pPr>
        <w:pStyle w:val="8"/>
      </w:pPr>
    </w:p>
    <w:p w14:paraId="1486B1F5"/>
    <w:p w14:paraId="52ECA13D">
      <w:pPr>
        <w:pStyle w:val="2"/>
        <w:spacing w:before="340" w:after="330" w:line="579" w:lineRule="exact"/>
        <w:ind w:firstLine="1920" w:firstLineChars="600"/>
        <w:jc w:val="center"/>
        <w:rPr>
          <w:rFonts w:ascii="Times New Roman" w:hAnsi="Times New Roman" w:eastAsia="宋体" w:cs="Times New Roman"/>
          <w:b/>
          <w:bCs/>
          <w:color w:val="000000"/>
          <w:kern w:val="44"/>
          <w:sz w:val="32"/>
          <w:szCs w:val="44"/>
          <w:highlight w:val="none"/>
        </w:rPr>
      </w:pPr>
      <w:bookmarkStart w:id="27" w:name="_Toc23547"/>
      <w:r>
        <w:rPr>
          <w:rFonts w:hint="eastAsia" w:eastAsia="宋体" w:cs="Times New Roman"/>
          <w:b/>
          <w:bCs/>
          <w:color w:val="000000"/>
          <w:kern w:val="44"/>
          <w:sz w:val="32"/>
          <w:szCs w:val="44"/>
          <w:highlight w:val="none"/>
          <w:lang w:val="en-US" w:eastAsia="zh-CN"/>
        </w:rPr>
        <w:t xml:space="preserve">第三章 </w:t>
      </w:r>
      <w:r>
        <w:rPr>
          <w:rFonts w:ascii="Times New Roman" w:hAnsi="Times New Roman" w:eastAsia="宋体" w:cs="Times New Roman"/>
          <w:b/>
          <w:bCs/>
          <w:color w:val="000000"/>
          <w:kern w:val="44"/>
          <w:sz w:val="32"/>
          <w:szCs w:val="44"/>
          <w:highlight w:val="none"/>
        </w:rPr>
        <w:t>评</w:t>
      </w:r>
      <w:r>
        <w:rPr>
          <w:rFonts w:hint="default" w:ascii="Times New Roman" w:hAnsi="Times New Roman" w:eastAsia="宋体" w:cs="Times New Roman"/>
          <w:b/>
          <w:bCs/>
          <w:color w:val="000000"/>
          <w:kern w:val="44"/>
          <w:sz w:val="32"/>
          <w:szCs w:val="44"/>
          <w:highlight w:val="none"/>
          <w:lang w:val="en-US" w:eastAsia="zh-CN"/>
        </w:rPr>
        <w:t>审</w:t>
      </w:r>
      <w:r>
        <w:rPr>
          <w:rFonts w:ascii="Times New Roman" w:hAnsi="Times New Roman" w:eastAsia="宋体" w:cs="Times New Roman"/>
          <w:b/>
          <w:bCs/>
          <w:color w:val="000000"/>
          <w:kern w:val="44"/>
          <w:sz w:val="32"/>
          <w:szCs w:val="44"/>
          <w:highlight w:val="none"/>
        </w:rPr>
        <w:t>办法（综合评分法）</w:t>
      </w:r>
      <w:bookmarkEnd w:id="27"/>
    </w:p>
    <w:p w14:paraId="509B79FF">
      <w:pPr>
        <w:spacing w:before="0" w:after="0"/>
        <w:jc w:val="center"/>
        <w:rPr>
          <w:rFonts w:hint="eastAsia" w:ascii="黑体" w:hAnsi="黑体" w:eastAsia="黑体" w:cs="黑体"/>
          <w:b/>
          <w:bCs/>
          <w:color w:val="000000"/>
          <w:sz w:val="28"/>
          <w:szCs w:val="28"/>
          <w:highlight w:val="none"/>
        </w:rPr>
      </w:pPr>
      <w:r>
        <w:rPr>
          <w:rFonts w:hint="eastAsia" w:ascii="黑体" w:hAnsi="黑体" w:eastAsia="黑体" w:cs="黑体"/>
          <w:b/>
          <w:bCs/>
          <w:kern w:val="44"/>
          <w:sz w:val="28"/>
          <w:szCs w:val="28"/>
          <w:highlight w:val="none"/>
        </w:rPr>
        <w:t>评</w:t>
      </w:r>
      <w:r>
        <w:rPr>
          <w:rFonts w:hint="eastAsia" w:ascii="黑体" w:hAnsi="黑体" w:eastAsia="黑体" w:cs="黑体"/>
          <w:b/>
          <w:bCs/>
          <w:kern w:val="44"/>
          <w:sz w:val="28"/>
          <w:szCs w:val="28"/>
          <w:highlight w:val="none"/>
          <w:lang w:val="en-US" w:eastAsia="zh-CN"/>
        </w:rPr>
        <w:t>审</w:t>
      </w:r>
      <w:r>
        <w:rPr>
          <w:rFonts w:hint="eastAsia" w:ascii="黑体" w:hAnsi="黑体" w:eastAsia="黑体" w:cs="黑体"/>
          <w:b/>
          <w:bCs/>
          <w:kern w:val="44"/>
          <w:sz w:val="28"/>
          <w:szCs w:val="28"/>
          <w:highlight w:val="none"/>
        </w:rPr>
        <w:t>办法前附表</w:t>
      </w:r>
    </w:p>
    <w:tbl>
      <w:tblPr>
        <w:tblStyle w:val="15"/>
        <w:tblW w:w="9848" w:type="dxa"/>
        <w:jc w:val="center"/>
        <w:tblLayout w:type="autofit"/>
        <w:tblCellMar>
          <w:top w:w="0" w:type="dxa"/>
          <w:left w:w="108" w:type="dxa"/>
          <w:bottom w:w="0" w:type="dxa"/>
          <w:right w:w="108" w:type="dxa"/>
        </w:tblCellMar>
      </w:tblPr>
      <w:tblGrid>
        <w:gridCol w:w="851"/>
        <w:gridCol w:w="1693"/>
        <w:gridCol w:w="1923"/>
        <w:gridCol w:w="5361"/>
        <w:gridCol w:w="11"/>
        <w:gridCol w:w="9"/>
      </w:tblGrid>
      <w:tr w14:paraId="38367717">
        <w:tblPrEx>
          <w:tblCellMar>
            <w:top w:w="0" w:type="dxa"/>
            <w:left w:w="108" w:type="dxa"/>
            <w:bottom w:w="0" w:type="dxa"/>
            <w:right w:w="108" w:type="dxa"/>
          </w:tblCellMar>
        </w:tblPrEx>
        <w:trPr>
          <w:gridAfter w:val="1"/>
          <w:wAfter w:w="9" w:type="dxa"/>
          <w:trHeight w:val="499" w:hRule="atLeast"/>
          <w:jc w:val="center"/>
        </w:trPr>
        <w:tc>
          <w:tcPr>
            <w:tcW w:w="2544" w:type="dxa"/>
            <w:gridSpan w:val="2"/>
            <w:tcBorders>
              <w:top w:val="single" w:color="000000" w:sz="4" w:space="0"/>
              <w:left w:val="single" w:color="000000" w:sz="4" w:space="0"/>
              <w:bottom w:val="single" w:color="000000" w:sz="4" w:space="0"/>
              <w:right w:val="single" w:color="000000" w:sz="4" w:space="0"/>
            </w:tcBorders>
            <w:vAlign w:val="center"/>
          </w:tcPr>
          <w:p w14:paraId="0278480A">
            <w:pPr>
              <w:pStyle w:val="24"/>
              <w:spacing w:line="360" w:lineRule="auto"/>
              <w:ind w:firstLine="0"/>
              <w:jc w:val="center"/>
              <w:rPr>
                <w:b/>
                <w:bCs/>
                <w:color w:val="000000"/>
                <w:highlight w:val="none"/>
              </w:rPr>
            </w:pPr>
            <w:r>
              <w:rPr>
                <w:b/>
                <w:bCs/>
                <w:color w:val="000000"/>
                <w:highlight w:val="none"/>
              </w:rPr>
              <w:t>条款号</w:t>
            </w:r>
          </w:p>
        </w:tc>
        <w:tc>
          <w:tcPr>
            <w:tcW w:w="1923" w:type="dxa"/>
            <w:tcBorders>
              <w:top w:val="single" w:color="000000" w:sz="4" w:space="0"/>
              <w:left w:val="nil"/>
              <w:bottom w:val="single" w:color="000000" w:sz="4" w:space="0"/>
              <w:right w:val="single" w:color="000000" w:sz="4" w:space="0"/>
            </w:tcBorders>
            <w:vAlign w:val="center"/>
          </w:tcPr>
          <w:p w14:paraId="1A5B86A3">
            <w:pPr>
              <w:pStyle w:val="24"/>
              <w:spacing w:line="360" w:lineRule="auto"/>
              <w:ind w:firstLine="0"/>
              <w:jc w:val="center"/>
              <w:rPr>
                <w:b/>
                <w:bCs/>
                <w:color w:val="000000"/>
                <w:highlight w:val="none"/>
              </w:rPr>
            </w:pPr>
            <w:r>
              <w:rPr>
                <w:b/>
                <w:bCs/>
                <w:color w:val="000000"/>
                <w:highlight w:val="none"/>
              </w:rPr>
              <w:t>评审因素</w:t>
            </w:r>
          </w:p>
        </w:tc>
        <w:tc>
          <w:tcPr>
            <w:tcW w:w="5372" w:type="dxa"/>
            <w:gridSpan w:val="2"/>
            <w:tcBorders>
              <w:top w:val="single" w:color="000000" w:sz="4" w:space="0"/>
              <w:left w:val="nil"/>
              <w:bottom w:val="single" w:color="000000" w:sz="4" w:space="0"/>
              <w:right w:val="single" w:color="000000" w:sz="4" w:space="0"/>
            </w:tcBorders>
            <w:vAlign w:val="center"/>
          </w:tcPr>
          <w:p w14:paraId="7BB454BD">
            <w:pPr>
              <w:pStyle w:val="24"/>
              <w:spacing w:line="360" w:lineRule="auto"/>
              <w:ind w:firstLine="0"/>
              <w:jc w:val="center"/>
              <w:rPr>
                <w:b/>
                <w:bCs/>
                <w:color w:val="000000"/>
                <w:highlight w:val="none"/>
              </w:rPr>
            </w:pPr>
            <w:r>
              <w:rPr>
                <w:b/>
                <w:bCs/>
                <w:color w:val="000000"/>
                <w:highlight w:val="none"/>
              </w:rPr>
              <w:t>评审标准</w:t>
            </w:r>
          </w:p>
        </w:tc>
      </w:tr>
      <w:tr w14:paraId="70E67BD7">
        <w:tblPrEx>
          <w:tblCellMar>
            <w:top w:w="0" w:type="dxa"/>
            <w:left w:w="108" w:type="dxa"/>
            <w:bottom w:w="0" w:type="dxa"/>
            <w:right w:w="108" w:type="dxa"/>
          </w:tblCellMar>
        </w:tblPrEx>
        <w:trPr>
          <w:gridAfter w:val="1"/>
          <w:wAfter w:w="9" w:type="dxa"/>
          <w:trHeight w:val="499" w:hRule="atLeast"/>
          <w:jc w:val="center"/>
        </w:trPr>
        <w:tc>
          <w:tcPr>
            <w:tcW w:w="2544" w:type="dxa"/>
            <w:gridSpan w:val="2"/>
            <w:tcBorders>
              <w:top w:val="single" w:color="000000" w:sz="4" w:space="0"/>
              <w:left w:val="single" w:color="000000" w:sz="4" w:space="0"/>
              <w:bottom w:val="single" w:color="000000" w:sz="4" w:space="0"/>
              <w:right w:val="single" w:color="000000" w:sz="4" w:space="0"/>
            </w:tcBorders>
            <w:vAlign w:val="center"/>
          </w:tcPr>
          <w:p w14:paraId="76F9BA1C">
            <w:pPr>
              <w:pStyle w:val="24"/>
              <w:spacing w:line="360" w:lineRule="auto"/>
              <w:ind w:firstLine="0"/>
              <w:jc w:val="center"/>
              <w:rPr>
                <w:b/>
                <w:bCs/>
                <w:color w:val="000000"/>
                <w:highlight w:val="none"/>
              </w:rPr>
            </w:pPr>
            <w:r>
              <w:rPr>
                <w:b/>
                <w:bCs/>
                <w:color w:val="000000"/>
                <w:highlight w:val="none"/>
              </w:rPr>
              <w:t>1</w:t>
            </w:r>
          </w:p>
        </w:tc>
        <w:tc>
          <w:tcPr>
            <w:tcW w:w="7295" w:type="dxa"/>
            <w:gridSpan w:val="3"/>
            <w:tcBorders>
              <w:top w:val="single" w:color="000000" w:sz="4" w:space="0"/>
              <w:left w:val="nil"/>
              <w:bottom w:val="single" w:color="000000" w:sz="4" w:space="0"/>
              <w:right w:val="single" w:color="000000" w:sz="4" w:space="0"/>
            </w:tcBorders>
            <w:vAlign w:val="center"/>
          </w:tcPr>
          <w:p w14:paraId="65F553DB">
            <w:pPr>
              <w:pStyle w:val="24"/>
              <w:spacing w:line="360" w:lineRule="auto"/>
              <w:ind w:firstLine="0"/>
              <w:jc w:val="center"/>
              <w:rPr>
                <w:b/>
                <w:bCs/>
                <w:color w:val="000000"/>
                <w:highlight w:val="none"/>
              </w:rPr>
            </w:pPr>
            <w:r>
              <w:rPr>
                <w:b/>
                <w:bCs/>
                <w:color w:val="000000"/>
                <w:highlight w:val="none"/>
              </w:rPr>
              <w:t>初步评审标准</w:t>
            </w:r>
          </w:p>
        </w:tc>
      </w:tr>
      <w:tr w14:paraId="4FD5F6B7">
        <w:tblPrEx>
          <w:tblCellMar>
            <w:top w:w="0" w:type="dxa"/>
            <w:left w:w="108" w:type="dxa"/>
            <w:bottom w:w="0" w:type="dxa"/>
            <w:right w:w="108" w:type="dxa"/>
          </w:tblCellMar>
        </w:tblPrEx>
        <w:trPr>
          <w:gridAfter w:val="1"/>
          <w:wAfter w:w="9" w:type="dxa"/>
          <w:trHeight w:val="393" w:hRule="atLeast"/>
          <w:jc w:val="center"/>
        </w:trPr>
        <w:tc>
          <w:tcPr>
            <w:tcW w:w="851" w:type="dxa"/>
            <w:vMerge w:val="restart"/>
            <w:tcBorders>
              <w:top w:val="nil"/>
              <w:left w:val="single" w:color="000000" w:sz="4" w:space="0"/>
              <w:right w:val="single" w:color="000000" w:sz="4" w:space="0"/>
            </w:tcBorders>
            <w:vAlign w:val="center"/>
          </w:tcPr>
          <w:p w14:paraId="4FB16221">
            <w:pPr>
              <w:pStyle w:val="24"/>
              <w:spacing w:line="360" w:lineRule="auto"/>
              <w:ind w:right="63" w:firstLine="0"/>
              <w:jc w:val="center"/>
              <w:rPr>
                <w:color w:val="000000"/>
                <w:highlight w:val="none"/>
              </w:rPr>
            </w:pPr>
            <w:r>
              <w:rPr>
                <w:color w:val="000000"/>
                <w:highlight w:val="none"/>
              </w:rPr>
              <w:t>1.1</w:t>
            </w:r>
          </w:p>
        </w:tc>
        <w:tc>
          <w:tcPr>
            <w:tcW w:w="1693" w:type="dxa"/>
            <w:vMerge w:val="restart"/>
            <w:tcBorders>
              <w:top w:val="nil"/>
              <w:left w:val="nil"/>
              <w:right w:val="single" w:color="000000" w:sz="4" w:space="0"/>
            </w:tcBorders>
            <w:vAlign w:val="center"/>
          </w:tcPr>
          <w:p w14:paraId="725C59FC">
            <w:pPr>
              <w:pStyle w:val="24"/>
              <w:spacing w:line="360" w:lineRule="auto"/>
              <w:ind w:firstLine="0"/>
              <w:jc w:val="center"/>
              <w:rPr>
                <w:color w:val="000000"/>
                <w:highlight w:val="none"/>
              </w:rPr>
            </w:pPr>
            <w:r>
              <w:rPr>
                <w:color w:val="000000"/>
                <w:highlight w:val="none"/>
              </w:rPr>
              <w:t>形式评审标准</w:t>
            </w:r>
          </w:p>
        </w:tc>
        <w:tc>
          <w:tcPr>
            <w:tcW w:w="1923" w:type="dxa"/>
            <w:tcBorders>
              <w:top w:val="single" w:color="000000" w:sz="4" w:space="0"/>
              <w:left w:val="nil"/>
              <w:bottom w:val="single" w:color="000000" w:sz="4" w:space="0"/>
              <w:right w:val="single" w:color="000000" w:sz="4" w:space="0"/>
            </w:tcBorders>
            <w:vAlign w:val="center"/>
          </w:tcPr>
          <w:p w14:paraId="276216ED">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名称</w:t>
            </w:r>
          </w:p>
        </w:tc>
        <w:tc>
          <w:tcPr>
            <w:tcW w:w="5372" w:type="dxa"/>
            <w:gridSpan w:val="2"/>
            <w:tcBorders>
              <w:top w:val="single" w:color="000000" w:sz="4" w:space="0"/>
              <w:left w:val="nil"/>
              <w:bottom w:val="single" w:color="000000" w:sz="4" w:space="0"/>
              <w:right w:val="single" w:color="000000" w:sz="4" w:space="0"/>
            </w:tcBorders>
            <w:vAlign w:val="center"/>
          </w:tcPr>
          <w:p w14:paraId="5561E9FC">
            <w:pPr>
              <w:pStyle w:val="24"/>
              <w:spacing w:line="360" w:lineRule="auto"/>
              <w:ind w:firstLine="0"/>
              <w:rPr>
                <w:color w:val="000000"/>
                <w:highlight w:val="none"/>
              </w:rPr>
            </w:pPr>
            <w:r>
              <w:rPr>
                <w:color w:val="000000"/>
                <w:highlight w:val="none"/>
              </w:rPr>
              <w:t>与营业执照、资质证书、安全生产许可证一致。</w:t>
            </w:r>
          </w:p>
        </w:tc>
      </w:tr>
      <w:tr w14:paraId="039F1AF6">
        <w:tblPrEx>
          <w:tblCellMar>
            <w:top w:w="0" w:type="dxa"/>
            <w:left w:w="108" w:type="dxa"/>
            <w:bottom w:w="0" w:type="dxa"/>
            <w:right w:w="108" w:type="dxa"/>
          </w:tblCellMar>
        </w:tblPrEx>
        <w:trPr>
          <w:trHeight w:val="451" w:hRule="atLeast"/>
          <w:jc w:val="center"/>
        </w:trPr>
        <w:tc>
          <w:tcPr>
            <w:tcW w:w="851" w:type="dxa"/>
            <w:vMerge w:val="continue"/>
            <w:tcBorders>
              <w:left w:val="single" w:color="000000" w:sz="4" w:space="0"/>
              <w:right w:val="single" w:color="000000" w:sz="4" w:space="0"/>
            </w:tcBorders>
            <w:vAlign w:val="center"/>
          </w:tcPr>
          <w:p w14:paraId="6AEF77D4">
            <w:pPr>
              <w:spacing w:line="360" w:lineRule="auto"/>
              <w:rPr>
                <w:rFonts w:ascii="Times New Roman" w:hAnsi="Times New Roman" w:cs="Times New Roman"/>
                <w:color w:val="000000"/>
                <w:szCs w:val="21"/>
                <w:highlight w:val="none"/>
              </w:rPr>
            </w:pPr>
          </w:p>
        </w:tc>
        <w:tc>
          <w:tcPr>
            <w:tcW w:w="1693" w:type="dxa"/>
            <w:vMerge w:val="continue"/>
            <w:tcBorders>
              <w:left w:val="nil"/>
              <w:right w:val="single" w:color="000000" w:sz="4" w:space="0"/>
            </w:tcBorders>
            <w:vAlign w:val="center"/>
          </w:tcPr>
          <w:p w14:paraId="6A1B3741">
            <w:pPr>
              <w:spacing w:line="360" w:lineRule="auto"/>
              <w:rPr>
                <w:rFonts w:ascii="Times New Roman" w:hAnsi="Times New Roman" w:cs="Times New Roman"/>
                <w:color w:val="000000"/>
                <w:szCs w:val="21"/>
                <w:highlight w:val="none"/>
              </w:rPr>
            </w:pPr>
          </w:p>
        </w:tc>
        <w:tc>
          <w:tcPr>
            <w:tcW w:w="1923" w:type="dxa"/>
            <w:tcBorders>
              <w:top w:val="single" w:color="000000" w:sz="4" w:space="0"/>
              <w:left w:val="nil"/>
              <w:bottom w:val="single" w:color="000000" w:sz="4" w:space="0"/>
              <w:right w:val="single" w:color="000000" w:sz="4" w:space="0"/>
            </w:tcBorders>
            <w:vAlign w:val="center"/>
          </w:tcPr>
          <w:p w14:paraId="39501911">
            <w:pPr>
              <w:ind w:firstLine="0" w:firstLineChars="0"/>
              <w:rPr>
                <w:rFonts w:ascii="Times New Roman" w:hAnsi="Times New Roman" w:eastAsia="宋体" w:cs="Times New Roman"/>
                <w:color w:val="000000"/>
                <w:kern w:val="2"/>
                <w:sz w:val="21"/>
                <w:szCs w:val="21"/>
                <w:highlight w:val="none"/>
                <w:lang w:val="en-US" w:eastAsia="zh-CN" w:bidi="ar-SA"/>
              </w:rPr>
            </w:pPr>
            <w:r>
              <w:rPr>
                <w:rFonts w:hint="eastAsia" w:ascii="Times New Roman" w:hAnsi="Times New Roman" w:cs="Times New Roman"/>
                <w:color w:val="000000"/>
                <w:szCs w:val="21"/>
                <w:highlight w:val="none"/>
                <w:lang w:val="en-US" w:eastAsia="zh-CN"/>
              </w:rPr>
              <w:t>递交备选比选申请方案</w:t>
            </w:r>
          </w:p>
        </w:tc>
        <w:tc>
          <w:tcPr>
            <w:tcW w:w="5381" w:type="dxa"/>
            <w:gridSpan w:val="3"/>
            <w:tcBorders>
              <w:top w:val="single" w:color="000000" w:sz="4" w:space="0"/>
              <w:left w:val="nil"/>
              <w:bottom w:val="single" w:color="000000" w:sz="4" w:space="0"/>
              <w:right w:val="single" w:color="000000" w:sz="4" w:space="0"/>
            </w:tcBorders>
            <w:vAlign w:val="center"/>
          </w:tcPr>
          <w:p w14:paraId="46294521">
            <w:pPr>
              <w:pStyle w:val="24"/>
              <w:spacing w:line="360" w:lineRule="auto"/>
              <w:ind w:firstLine="0" w:firstLineChars="0"/>
              <w:rPr>
                <w:rFonts w:ascii="Times New Roman" w:hAnsi="Times New Roman" w:eastAsia="宋体" w:cs="Times New Roman"/>
                <w:color w:val="000000"/>
                <w:kern w:val="0"/>
                <w:sz w:val="21"/>
                <w:szCs w:val="21"/>
                <w:highlight w:val="none"/>
                <w:lang w:val="en-US" w:eastAsia="zh-CN" w:bidi="ar-SA"/>
              </w:rPr>
            </w:pPr>
            <w:r>
              <w:rPr>
                <w:color w:val="000000"/>
                <w:highlight w:val="none"/>
              </w:rPr>
              <w:t>符合第二章“</w:t>
            </w:r>
            <w:r>
              <w:rPr>
                <w:rFonts w:hint="eastAsia"/>
                <w:color w:val="000000"/>
                <w:highlight w:val="none"/>
              </w:rPr>
              <w:t>比选申请人</w:t>
            </w:r>
            <w:r>
              <w:rPr>
                <w:color w:val="000000"/>
                <w:highlight w:val="none"/>
              </w:rPr>
              <w:t>须知前附表”第2</w:t>
            </w:r>
            <w:r>
              <w:rPr>
                <w:rFonts w:hint="eastAsia"/>
                <w:color w:val="000000"/>
                <w:highlight w:val="none"/>
                <w:lang w:val="en-US" w:eastAsia="zh-CN"/>
              </w:rPr>
              <w:t>5</w:t>
            </w:r>
            <w:r>
              <w:rPr>
                <w:color w:val="000000"/>
                <w:highlight w:val="none"/>
              </w:rPr>
              <w:t>项规定</w:t>
            </w:r>
          </w:p>
        </w:tc>
      </w:tr>
      <w:tr w14:paraId="52FE0862">
        <w:tblPrEx>
          <w:tblCellMar>
            <w:top w:w="0" w:type="dxa"/>
            <w:left w:w="108" w:type="dxa"/>
            <w:bottom w:w="0" w:type="dxa"/>
            <w:right w:w="108" w:type="dxa"/>
          </w:tblCellMar>
        </w:tblPrEx>
        <w:trPr>
          <w:trHeight w:val="451" w:hRule="atLeast"/>
          <w:jc w:val="center"/>
        </w:trPr>
        <w:tc>
          <w:tcPr>
            <w:tcW w:w="851" w:type="dxa"/>
            <w:vMerge w:val="continue"/>
            <w:tcBorders>
              <w:left w:val="single" w:color="000000" w:sz="4" w:space="0"/>
              <w:right w:val="single" w:color="000000" w:sz="4" w:space="0"/>
            </w:tcBorders>
            <w:vAlign w:val="center"/>
          </w:tcPr>
          <w:p w14:paraId="65183742">
            <w:pPr>
              <w:spacing w:line="360" w:lineRule="auto"/>
              <w:rPr>
                <w:rFonts w:ascii="Times New Roman" w:hAnsi="Times New Roman" w:cs="Times New Roman"/>
                <w:color w:val="000000"/>
                <w:szCs w:val="21"/>
                <w:highlight w:val="none"/>
              </w:rPr>
            </w:pPr>
          </w:p>
        </w:tc>
        <w:tc>
          <w:tcPr>
            <w:tcW w:w="1693" w:type="dxa"/>
            <w:vMerge w:val="continue"/>
            <w:tcBorders>
              <w:left w:val="nil"/>
              <w:right w:val="single" w:color="000000" w:sz="4" w:space="0"/>
            </w:tcBorders>
            <w:vAlign w:val="center"/>
          </w:tcPr>
          <w:p w14:paraId="6945DFB4">
            <w:pPr>
              <w:spacing w:line="360" w:lineRule="auto"/>
              <w:rPr>
                <w:rFonts w:ascii="Times New Roman" w:hAnsi="Times New Roman" w:cs="Times New Roman"/>
                <w:color w:val="000000"/>
                <w:szCs w:val="21"/>
                <w:highlight w:val="none"/>
              </w:rPr>
            </w:pPr>
          </w:p>
        </w:tc>
        <w:tc>
          <w:tcPr>
            <w:tcW w:w="1923" w:type="dxa"/>
            <w:tcBorders>
              <w:top w:val="single" w:color="000000" w:sz="4" w:space="0"/>
              <w:left w:val="nil"/>
              <w:bottom w:val="single" w:color="000000" w:sz="4" w:space="0"/>
              <w:right w:val="single" w:color="000000" w:sz="4" w:space="0"/>
            </w:tcBorders>
            <w:vAlign w:val="center"/>
          </w:tcPr>
          <w:p w14:paraId="2CACC573">
            <w:pPr>
              <w:ind w:firstLine="210" w:firstLineChars="100"/>
              <w:rPr>
                <w:rFonts w:ascii="Times New Roman" w:hAnsi="Times New Roman" w:cs="Times New Roman"/>
                <w:color w:val="000000"/>
                <w:szCs w:val="21"/>
                <w:highlight w:val="none"/>
              </w:rPr>
            </w:pPr>
            <w:r>
              <w:rPr>
                <w:rFonts w:ascii="Times New Roman" w:hAnsi="Times New Roman" w:cs="Times New Roman"/>
                <w:color w:val="000000"/>
                <w:szCs w:val="21"/>
                <w:highlight w:val="none"/>
              </w:rPr>
              <w:t>签字、盖章要求</w:t>
            </w:r>
          </w:p>
        </w:tc>
        <w:tc>
          <w:tcPr>
            <w:tcW w:w="5381" w:type="dxa"/>
            <w:gridSpan w:val="3"/>
            <w:tcBorders>
              <w:top w:val="single" w:color="000000" w:sz="4" w:space="0"/>
              <w:left w:val="nil"/>
              <w:bottom w:val="single" w:color="000000" w:sz="4" w:space="0"/>
              <w:right w:val="single" w:color="000000" w:sz="4" w:space="0"/>
            </w:tcBorders>
            <w:vAlign w:val="center"/>
          </w:tcPr>
          <w:p w14:paraId="4B04B8E3">
            <w:pPr>
              <w:pStyle w:val="24"/>
              <w:spacing w:line="360" w:lineRule="auto"/>
              <w:ind w:firstLine="0"/>
              <w:rPr>
                <w:color w:val="000000"/>
                <w:highlight w:val="none"/>
              </w:rPr>
            </w:pPr>
            <w:r>
              <w:rPr>
                <w:color w:val="000000"/>
                <w:highlight w:val="none"/>
              </w:rPr>
              <w:t>符合第二章“</w:t>
            </w:r>
            <w:r>
              <w:rPr>
                <w:rFonts w:hint="eastAsia"/>
                <w:color w:val="000000"/>
                <w:highlight w:val="none"/>
              </w:rPr>
              <w:t>比选申请人</w:t>
            </w:r>
            <w:r>
              <w:rPr>
                <w:color w:val="000000"/>
                <w:highlight w:val="none"/>
              </w:rPr>
              <w:t>须知前附表”第28项规定</w:t>
            </w:r>
          </w:p>
        </w:tc>
      </w:tr>
      <w:tr w14:paraId="193269D5">
        <w:tblPrEx>
          <w:tblCellMar>
            <w:top w:w="0" w:type="dxa"/>
            <w:left w:w="108" w:type="dxa"/>
            <w:bottom w:w="0" w:type="dxa"/>
            <w:right w:w="108" w:type="dxa"/>
          </w:tblCellMar>
        </w:tblPrEx>
        <w:trPr>
          <w:gridAfter w:val="1"/>
          <w:wAfter w:w="9" w:type="dxa"/>
          <w:trHeight w:val="538" w:hRule="atLeast"/>
          <w:jc w:val="center"/>
        </w:trPr>
        <w:tc>
          <w:tcPr>
            <w:tcW w:w="851" w:type="dxa"/>
            <w:vMerge w:val="continue"/>
            <w:tcBorders>
              <w:left w:val="single" w:color="000000" w:sz="4" w:space="0"/>
              <w:right w:val="single" w:color="000000" w:sz="4" w:space="0"/>
            </w:tcBorders>
            <w:vAlign w:val="center"/>
          </w:tcPr>
          <w:p w14:paraId="23D54E8A">
            <w:pPr>
              <w:spacing w:line="360" w:lineRule="auto"/>
              <w:rPr>
                <w:rFonts w:ascii="Times New Roman" w:hAnsi="Times New Roman" w:cs="Times New Roman"/>
                <w:color w:val="000000"/>
                <w:szCs w:val="21"/>
                <w:highlight w:val="none"/>
              </w:rPr>
            </w:pPr>
          </w:p>
        </w:tc>
        <w:tc>
          <w:tcPr>
            <w:tcW w:w="1693" w:type="dxa"/>
            <w:vMerge w:val="continue"/>
            <w:tcBorders>
              <w:left w:val="nil"/>
              <w:right w:val="single" w:color="000000" w:sz="4" w:space="0"/>
            </w:tcBorders>
            <w:vAlign w:val="center"/>
          </w:tcPr>
          <w:p w14:paraId="39E8B265">
            <w:pPr>
              <w:spacing w:line="360" w:lineRule="auto"/>
              <w:rPr>
                <w:rFonts w:ascii="Times New Roman" w:hAnsi="Times New Roman" w:cs="Times New Roman"/>
                <w:color w:val="000000"/>
                <w:szCs w:val="21"/>
                <w:highlight w:val="none"/>
              </w:rPr>
            </w:pPr>
          </w:p>
        </w:tc>
        <w:tc>
          <w:tcPr>
            <w:tcW w:w="1923" w:type="dxa"/>
            <w:tcBorders>
              <w:top w:val="single" w:color="000000" w:sz="4" w:space="0"/>
              <w:left w:val="nil"/>
              <w:bottom w:val="single" w:color="000000" w:sz="4" w:space="0"/>
              <w:right w:val="single" w:color="000000" w:sz="4" w:space="0"/>
            </w:tcBorders>
            <w:vAlign w:val="center"/>
          </w:tcPr>
          <w:p w14:paraId="3762303E">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格式</w:t>
            </w:r>
          </w:p>
        </w:tc>
        <w:tc>
          <w:tcPr>
            <w:tcW w:w="5372" w:type="dxa"/>
            <w:gridSpan w:val="2"/>
            <w:tcBorders>
              <w:top w:val="single" w:color="000000" w:sz="4" w:space="0"/>
              <w:left w:val="nil"/>
              <w:bottom w:val="single" w:color="000000" w:sz="4" w:space="0"/>
              <w:right w:val="single" w:color="000000" w:sz="4" w:space="0"/>
            </w:tcBorders>
            <w:vAlign w:val="center"/>
          </w:tcPr>
          <w:p w14:paraId="7C370A6B">
            <w:pPr>
              <w:spacing w:line="240" w:lineRule="auto"/>
              <w:rPr>
                <w:rFonts w:ascii="Times New Roman" w:hAnsi="Times New Roman" w:cs="Times New Roman"/>
                <w:color w:val="000000"/>
                <w:szCs w:val="21"/>
                <w:highlight w:val="none"/>
              </w:rPr>
            </w:pPr>
            <w:r>
              <w:rPr>
                <w:rFonts w:ascii="Times New Roman" w:hAnsi="Times New Roman" w:cs="Times New Roman"/>
                <w:color w:val="000000"/>
                <w:szCs w:val="21"/>
                <w:highlight w:val="none"/>
              </w:rPr>
              <w:t>符合</w:t>
            </w:r>
            <w:r>
              <w:rPr>
                <w:rFonts w:hint="eastAsia" w:ascii="Times New Roman" w:hAnsi="Times New Roman" w:cs="Times New Roman"/>
                <w:color w:val="000000"/>
                <w:szCs w:val="21"/>
                <w:highlight w:val="none"/>
                <w:lang w:eastAsia="zh-CN"/>
              </w:rPr>
              <w:t>第六章</w:t>
            </w:r>
            <w:r>
              <w:rPr>
                <w:rFonts w:ascii="Times New Roman" w:hAnsi="Times New Roman" w:cs="Times New Roman"/>
                <w:color w:val="000000"/>
                <w:szCs w:val="21"/>
                <w:highlight w:val="none"/>
              </w:rPr>
              <w:t>“</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格式的要求”和第二章“</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须知前附表”第27项规定</w:t>
            </w:r>
          </w:p>
        </w:tc>
      </w:tr>
      <w:tr w14:paraId="2F60EA5E">
        <w:tblPrEx>
          <w:tblCellMar>
            <w:top w:w="0" w:type="dxa"/>
            <w:left w:w="108" w:type="dxa"/>
            <w:bottom w:w="0" w:type="dxa"/>
            <w:right w:w="108" w:type="dxa"/>
          </w:tblCellMar>
        </w:tblPrEx>
        <w:trPr>
          <w:gridAfter w:val="1"/>
          <w:wAfter w:w="9" w:type="dxa"/>
          <w:trHeight w:val="538" w:hRule="atLeast"/>
          <w:jc w:val="center"/>
        </w:trPr>
        <w:tc>
          <w:tcPr>
            <w:tcW w:w="851" w:type="dxa"/>
            <w:vMerge w:val="continue"/>
            <w:tcBorders>
              <w:left w:val="single" w:color="000000" w:sz="4" w:space="0"/>
              <w:right w:val="single" w:color="000000" w:sz="4" w:space="0"/>
            </w:tcBorders>
            <w:vAlign w:val="center"/>
          </w:tcPr>
          <w:p w14:paraId="69E8B06A">
            <w:pPr>
              <w:spacing w:line="360" w:lineRule="auto"/>
              <w:rPr>
                <w:rFonts w:ascii="Times New Roman" w:hAnsi="Times New Roman" w:cs="Times New Roman"/>
                <w:color w:val="000000"/>
                <w:szCs w:val="21"/>
                <w:highlight w:val="none"/>
              </w:rPr>
            </w:pPr>
          </w:p>
        </w:tc>
        <w:tc>
          <w:tcPr>
            <w:tcW w:w="1693" w:type="dxa"/>
            <w:vMerge w:val="continue"/>
            <w:tcBorders>
              <w:left w:val="nil"/>
              <w:right w:val="single" w:color="000000" w:sz="4" w:space="0"/>
            </w:tcBorders>
            <w:vAlign w:val="center"/>
          </w:tcPr>
          <w:p w14:paraId="3A72528E">
            <w:pPr>
              <w:spacing w:line="360" w:lineRule="auto"/>
              <w:rPr>
                <w:rFonts w:ascii="Times New Roman" w:hAnsi="Times New Roman" w:cs="Times New Roman"/>
                <w:color w:val="000000"/>
                <w:szCs w:val="21"/>
                <w:highlight w:val="none"/>
              </w:rPr>
            </w:pPr>
          </w:p>
        </w:tc>
        <w:tc>
          <w:tcPr>
            <w:tcW w:w="1923" w:type="dxa"/>
            <w:tcBorders>
              <w:top w:val="single" w:color="000000" w:sz="4" w:space="0"/>
              <w:left w:val="nil"/>
              <w:bottom w:val="single" w:color="000000" w:sz="4" w:space="0"/>
              <w:right w:val="single" w:color="000000" w:sz="4" w:space="0"/>
            </w:tcBorders>
            <w:vAlign w:val="center"/>
          </w:tcPr>
          <w:p w14:paraId="4A14F49D">
            <w:pPr>
              <w:jc w:val="center"/>
              <w:rPr>
                <w:rFonts w:hint="default" w:ascii="Times New Roman" w:hAnsi="Times New Roman" w:eastAsia="宋体" w:cs="Times New Roman"/>
                <w:color w:val="000000"/>
                <w:szCs w:val="21"/>
                <w:highlight w:val="none"/>
                <w:lang w:val="en-US" w:eastAsia="zh-CN"/>
              </w:rPr>
            </w:pPr>
            <w:r>
              <w:rPr>
                <w:rFonts w:hint="eastAsia" w:ascii="Times New Roman" w:hAnsi="Times New Roman" w:cs="Times New Roman"/>
                <w:color w:val="000000"/>
                <w:szCs w:val="21"/>
                <w:highlight w:val="none"/>
                <w:lang w:val="en-US" w:eastAsia="zh-CN"/>
              </w:rPr>
              <w:t>正、副本</w:t>
            </w:r>
          </w:p>
        </w:tc>
        <w:tc>
          <w:tcPr>
            <w:tcW w:w="5372" w:type="dxa"/>
            <w:gridSpan w:val="2"/>
            <w:tcBorders>
              <w:top w:val="single" w:color="000000" w:sz="4" w:space="0"/>
              <w:left w:val="nil"/>
              <w:bottom w:val="single" w:color="000000" w:sz="4" w:space="0"/>
              <w:right w:val="single" w:color="000000" w:sz="4" w:space="0"/>
            </w:tcBorders>
          </w:tcPr>
          <w:p w14:paraId="221E01B0">
            <w:pPr>
              <w:pStyle w:val="24"/>
              <w:spacing w:line="360" w:lineRule="auto"/>
              <w:ind w:firstLine="0"/>
              <w:rPr>
                <w:color w:val="000000"/>
                <w:highlight w:val="none"/>
              </w:rPr>
            </w:pPr>
            <w:r>
              <w:rPr>
                <w:color w:val="000000"/>
                <w:highlight w:val="none"/>
              </w:rPr>
              <w:t>符合第二章“</w:t>
            </w:r>
            <w:r>
              <w:rPr>
                <w:rFonts w:hint="eastAsia"/>
                <w:color w:val="000000"/>
                <w:highlight w:val="none"/>
              </w:rPr>
              <w:t>比选申请人</w:t>
            </w:r>
            <w:r>
              <w:rPr>
                <w:color w:val="000000"/>
                <w:highlight w:val="none"/>
              </w:rPr>
              <w:t>须知前附表”第2</w:t>
            </w:r>
            <w:r>
              <w:rPr>
                <w:rFonts w:hint="eastAsia"/>
                <w:color w:val="000000"/>
                <w:highlight w:val="none"/>
                <w:lang w:val="en-US" w:eastAsia="zh-CN"/>
              </w:rPr>
              <w:t>9</w:t>
            </w:r>
            <w:r>
              <w:rPr>
                <w:color w:val="000000"/>
                <w:highlight w:val="none"/>
              </w:rPr>
              <w:t>项要求</w:t>
            </w:r>
          </w:p>
        </w:tc>
      </w:tr>
      <w:tr w14:paraId="46E7C6F7">
        <w:tblPrEx>
          <w:tblCellMar>
            <w:top w:w="0" w:type="dxa"/>
            <w:left w:w="108" w:type="dxa"/>
            <w:bottom w:w="0" w:type="dxa"/>
            <w:right w:w="108" w:type="dxa"/>
          </w:tblCellMar>
        </w:tblPrEx>
        <w:trPr>
          <w:gridAfter w:val="1"/>
          <w:wAfter w:w="9" w:type="dxa"/>
          <w:trHeight w:val="538" w:hRule="atLeast"/>
          <w:jc w:val="center"/>
        </w:trPr>
        <w:tc>
          <w:tcPr>
            <w:tcW w:w="851" w:type="dxa"/>
            <w:vMerge w:val="continue"/>
            <w:tcBorders>
              <w:left w:val="single" w:color="000000" w:sz="4" w:space="0"/>
              <w:right w:val="single" w:color="000000" w:sz="4" w:space="0"/>
            </w:tcBorders>
            <w:vAlign w:val="center"/>
          </w:tcPr>
          <w:p w14:paraId="25F7C60E">
            <w:pPr>
              <w:spacing w:line="360" w:lineRule="auto"/>
              <w:rPr>
                <w:rFonts w:ascii="Times New Roman" w:hAnsi="Times New Roman" w:cs="Times New Roman"/>
                <w:color w:val="000000"/>
                <w:szCs w:val="21"/>
                <w:highlight w:val="none"/>
              </w:rPr>
            </w:pPr>
          </w:p>
        </w:tc>
        <w:tc>
          <w:tcPr>
            <w:tcW w:w="1693" w:type="dxa"/>
            <w:vMerge w:val="continue"/>
            <w:tcBorders>
              <w:left w:val="nil"/>
              <w:right w:val="single" w:color="000000" w:sz="4" w:space="0"/>
            </w:tcBorders>
            <w:vAlign w:val="center"/>
          </w:tcPr>
          <w:p w14:paraId="73A5493C">
            <w:pPr>
              <w:spacing w:line="360" w:lineRule="auto"/>
              <w:rPr>
                <w:rFonts w:ascii="Times New Roman" w:hAnsi="Times New Roman" w:cs="Times New Roman"/>
                <w:color w:val="000000"/>
                <w:szCs w:val="21"/>
                <w:highlight w:val="none"/>
              </w:rPr>
            </w:pPr>
          </w:p>
        </w:tc>
        <w:tc>
          <w:tcPr>
            <w:tcW w:w="1923" w:type="dxa"/>
            <w:tcBorders>
              <w:top w:val="single" w:color="000000" w:sz="4" w:space="0"/>
              <w:left w:val="nil"/>
              <w:bottom w:val="single" w:color="000000" w:sz="4" w:space="0"/>
              <w:right w:val="single" w:color="000000" w:sz="4" w:space="0"/>
            </w:tcBorders>
            <w:vAlign w:val="center"/>
          </w:tcPr>
          <w:p w14:paraId="5F4CAC3C">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报价唯一</w:t>
            </w:r>
          </w:p>
        </w:tc>
        <w:tc>
          <w:tcPr>
            <w:tcW w:w="5372" w:type="dxa"/>
            <w:gridSpan w:val="2"/>
            <w:tcBorders>
              <w:top w:val="single" w:color="000000" w:sz="4" w:space="0"/>
              <w:left w:val="nil"/>
              <w:bottom w:val="single" w:color="000000" w:sz="4" w:space="0"/>
              <w:right w:val="single" w:color="000000" w:sz="4" w:space="0"/>
            </w:tcBorders>
          </w:tcPr>
          <w:p w14:paraId="708864E5">
            <w:pPr>
              <w:pStyle w:val="24"/>
              <w:spacing w:line="360" w:lineRule="auto"/>
              <w:ind w:firstLine="0"/>
              <w:rPr>
                <w:color w:val="000000"/>
                <w:highlight w:val="none"/>
              </w:rPr>
            </w:pPr>
            <w:r>
              <w:rPr>
                <w:color w:val="000000"/>
                <w:highlight w:val="none"/>
              </w:rPr>
              <w:t>符合第二章“</w:t>
            </w:r>
            <w:r>
              <w:rPr>
                <w:rFonts w:hint="eastAsia"/>
                <w:color w:val="000000"/>
                <w:highlight w:val="none"/>
              </w:rPr>
              <w:t>比选申请人</w:t>
            </w:r>
            <w:r>
              <w:rPr>
                <w:color w:val="000000"/>
                <w:highlight w:val="none"/>
              </w:rPr>
              <w:t>须知前附表”第23项要求</w:t>
            </w:r>
          </w:p>
        </w:tc>
      </w:tr>
      <w:tr w14:paraId="16348AA4">
        <w:tblPrEx>
          <w:tblCellMar>
            <w:top w:w="0" w:type="dxa"/>
            <w:left w:w="108" w:type="dxa"/>
            <w:bottom w:w="0" w:type="dxa"/>
            <w:right w:w="108" w:type="dxa"/>
          </w:tblCellMar>
        </w:tblPrEx>
        <w:trPr>
          <w:gridAfter w:val="1"/>
          <w:wAfter w:w="9" w:type="dxa"/>
          <w:trHeight w:val="538" w:hRule="atLeast"/>
          <w:jc w:val="center"/>
        </w:trPr>
        <w:tc>
          <w:tcPr>
            <w:tcW w:w="851" w:type="dxa"/>
            <w:vMerge w:val="continue"/>
            <w:tcBorders>
              <w:left w:val="single" w:color="000000" w:sz="4" w:space="0"/>
              <w:bottom w:val="single" w:color="auto" w:sz="4" w:space="0"/>
              <w:right w:val="single" w:color="000000" w:sz="4" w:space="0"/>
            </w:tcBorders>
            <w:vAlign w:val="center"/>
          </w:tcPr>
          <w:p w14:paraId="260827A9">
            <w:pPr>
              <w:spacing w:line="360" w:lineRule="auto"/>
              <w:rPr>
                <w:rFonts w:ascii="Times New Roman" w:hAnsi="Times New Roman" w:cs="Times New Roman"/>
                <w:color w:val="000000"/>
                <w:szCs w:val="21"/>
                <w:highlight w:val="none"/>
              </w:rPr>
            </w:pPr>
          </w:p>
        </w:tc>
        <w:tc>
          <w:tcPr>
            <w:tcW w:w="1693" w:type="dxa"/>
            <w:vMerge w:val="continue"/>
            <w:tcBorders>
              <w:left w:val="nil"/>
              <w:bottom w:val="single" w:color="auto" w:sz="4" w:space="0"/>
              <w:right w:val="single" w:color="000000" w:sz="4" w:space="0"/>
            </w:tcBorders>
            <w:vAlign w:val="center"/>
          </w:tcPr>
          <w:p w14:paraId="5FD1ED50">
            <w:pPr>
              <w:spacing w:line="360" w:lineRule="auto"/>
              <w:rPr>
                <w:rFonts w:ascii="Times New Roman" w:hAnsi="Times New Roman" w:cs="Times New Roman"/>
                <w:color w:val="000000"/>
                <w:szCs w:val="21"/>
                <w:highlight w:val="none"/>
              </w:rPr>
            </w:pPr>
          </w:p>
        </w:tc>
        <w:tc>
          <w:tcPr>
            <w:tcW w:w="7295" w:type="dxa"/>
            <w:gridSpan w:val="3"/>
            <w:tcBorders>
              <w:top w:val="single" w:color="000000" w:sz="4" w:space="0"/>
              <w:left w:val="nil"/>
              <w:bottom w:val="single" w:color="000000" w:sz="4" w:space="0"/>
              <w:right w:val="single" w:color="000000" w:sz="4" w:space="0"/>
            </w:tcBorders>
            <w:vAlign w:val="center"/>
          </w:tcPr>
          <w:p w14:paraId="0FFE3AED">
            <w:pPr>
              <w:pStyle w:val="24"/>
              <w:spacing w:line="360" w:lineRule="auto"/>
              <w:ind w:firstLine="0"/>
              <w:rPr>
                <w:color w:val="000000"/>
                <w:highlight w:val="none"/>
              </w:rPr>
            </w:pPr>
            <w:r>
              <w:rPr>
                <w:b/>
                <w:color w:val="000000"/>
                <w:highlight w:val="none"/>
              </w:rPr>
              <w:t>以上评审有一条不通过，则视为形式评审标准不通过，不进入下一步评审，其</w:t>
            </w:r>
            <w:r>
              <w:rPr>
                <w:rFonts w:hint="eastAsia"/>
                <w:b/>
                <w:color w:val="000000"/>
                <w:highlight w:val="none"/>
              </w:rPr>
              <w:t>比选申请文件</w:t>
            </w:r>
            <w:r>
              <w:rPr>
                <w:b/>
                <w:color w:val="000000"/>
                <w:highlight w:val="none"/>
              </w:rPr>
              <w:t>无效。</w:t>
            </w:r>
          </w:p>
        </w:tc>
      </w:tr>
      <w:tr w14:paraId="75728B1B">
        <w:tblPrEx>
          <w:tblCellMar>
            <w:top w:w="0" w:type="dxa"/>
            <w:left w:w="108" w:type="dxa"/>
            <w:bottom w:w="0" w:type="dxa"/>
            <w:right w:w="108" w:type="dxa"/>
          </w:tblCellMar>
        </w:tblPrEx>
        <w:trPr>
          <w:gridAfter w:val="1"/>
          <w:wAfter w:w="9" w:type="dxa"/>
          <w:trHeight w:val="434" w:hRule="atLeast"/>
          <w:jc w:val="center"/>
        </w:trPr>
        <w:tc>
          <w:tcPr>
            <w:tcW w:w="851" w:type="dxa"/>
            <w:vMerge w:val="restart"/>
            <w:tcBorders>
              <w:top w:val="single" w:color="auto" w:sz="4" w:space="0"/>
              <w:left w:val="single" w:color="auto" w:sz="4" w:space="0"/>
              <w:bottom w:val="single" w:color="auto" w:sz="4" w:space="0"/>
              <w:right w:val="single" w:color="auto" w:sz="4" w:space="0"/>
            </w:tcBorders>
            <w:vAlign w:val="center"/>
          </w:tcPr>
          <w:p w14:paraId="1C5BCBE3">
            <w:pPr>
              <w:pStyle w:val="24"/>
              <w:spacing w:line="360" w:lineRule="auto"/>
              <w:ind w:firstLine="0"/>
              <w:jc w:val="center"/>
              <w:rPr>
                <w:color w:val="000000"/>
                <w:highlight w:val="none"/>
              </w:rPr>
            </w:pPr>
            <w:r>
              <w:rPr>
                <w:color w:val="000000"/>
                <w:highlight w:val="none"/>
              </w:rPr>
              <w:t>1.2</w:t>
            </w:r>
          </w:p>
        </w:tc>
        <w:tc>
          <w:tcPr>
            <w:tcW w:w="1693" w:type="dxa"/>
            <w:vMerge w:val="restart"/>
            <w:tcBorders>
              <w:top w:val="single" w:color="auto" w:sz="4" w:space="0"/>
              <w:left w:val="single" w:color="auto" w:sz="4" w:space="0"/>
              <w:bottom w:val="single" w:color="auto" w:sz="4" w:space="0"/>
              <w:right w:val="single" w:color="auto" w:sz="4" w:space="0"/>
            </w:tcBorders>
            <w:vAlign w:val="center"/>
          </w:tcPr>
          <w:p w14:paraId="0A19374D">
            <w:pPr>
              <w:pStyle w:val="24"/>
              <w:spacing w:line="360" w:lineRule="auto"/>
              <w:ind w:firstLine="0"/>
              <w:jc w:val="center"/>
              <w:rPr>
                <w:color w:val="000000"/>
                <w:highlight w:val="none"/>
              </w:rPr>
            </w:pPr>
            <w:r>
              <w:rPr>
                <w:color w:val="000000"/>
                <w:highlight w:val="none"/>
              </w:rPr>
              <w:t>资格评审标准</w:t>
            </w:r>
          </w:p>
        </w:tc>
        <w:tc>
          <w:tcPr>
            <w:tcW w:w="1923" w:type="dxa"/>
            <w:tcBorders>
              <w:top w:val="single" w:color="000000" w:sz="4" w:space="0"/>
              <w:left w:val="single" w:color="auto" w:sz="4" w:space="0"/>
              <w:bottom w:val="single" w:color="000000" w:sz="4" w:space="0"/>
              <w:right w:val="single" w:color="000000" w:sz="4" w:space="0"/>
            </w:tcBorders>
            <w:vAlign w:val="center"/>
          </w:tcPr>
          <w:p w14:paraId="112C6977">
            <w:pPr>
              <w:pStyle w:val="24"/>
              <w:spacing w:line="360" w:lineRule="auto"/>
              <w:ind w:firstLine="0"/>
              <w:jc w:val="center"/>
              <w:rPr>
                <w:color w:val="000000"/>
                <w:highlight w:val="none"/>
              </w:rPr>
            </w:pPr>
            <w:r>
              <w:rPr>
                <w:color w:val="000000"/>
                <w:highlight w:val="none"/>
              </w:rPr>
              <w:t>营业执照</w:t>
            </w:r>
          </w:p>
        </w:tc>
        <w:tc>
          <w:tcPr>
            <w:tcW w:w="5372" w:type="dxa"/>
            <w:gridSpan w:val="2"/>
            <w:tcBorders>
              <w:top w:val="single" w:color="000000" w:sz="4" w:space="0"/>
              <w:left w:val="nil"/>
              <w:bottom w:val="single" w:color="000000" w:sz="4" w:space="0"/>
              <w:right w:val="single" w:color="000000" w:sz="4" w:space="0"/>
            </w:tcBorders>
            <w:vAlign w:val="center"/>
          </w:tcPr>
          <w:p w14:paraId="67905575">
            <w:pPr>
              <w:pStyle w:val="24"/>
              <w:spacing w:line="360" w:lineRule="auto"/>
              <w:ind w:firstLine="0"/>
              <w:rPr>
                <w:color w:val="000000"/>
                <w:highlight w:val="none"/>
              </w:rPr>
            </w:pPr>
            <w:r>
              <w:rPr>
                <w:color w:val="000000"/>
                <w:highlight w:val="none"/>
              </w:rPr>
              <w:t>具备有效的营业执照。</w:t>
            </w:r>
          </w:p>
        </w:tc>
      </w:tr>
      <w:tr w14:paraId="788963CB">
        <w:tblPrEx>
          <w:tblCellMar>
            <w:top w:w="0" w:type="dxa"/>
            <w:left w:w="108" w:type="dxa"/>
            <w:bottom w:w="0" w:type="dxa"/>
            <w:right w:w="108" w:type="dxa"/>
          </w:tblCellMar>
        </w:tblPrEx>
        <w:trPr>
          <w:gridAfter w:val="1"/>
          <w:wAfter w:w="9" w:type="dxa"/>
          <w:trHeight w:val="513" w:hRule="atLeast"/>
          <w:jc w:val="center"/>
        </w:trPr>
        <w:tc>
          <w:tcPr>
            <w:tcW w:w="851" w:type="dxa"/>
            <w:vMerge w:val="continue"/>
            <w:tcBorders>
              <w:top w:val="single" w:color="auto" w:sz="4" w:space="0"/>
              <w:left w:val="single" w:color="auto" w:sz="4" w:space="0"/>
              <w:bottom w:val="single" w:color="auto" w:sz="4" w:space="0"/>
              <w:right w:val="single" w:color="auto" w:sz="4" w:space="0"/>
            </w:tcBorders>
            <w:vAlign w:val="center"/>
          </w:tcPr>
          <w:p w14:paraId="5F38BE68">
            <w:pPr>
              <w:spacing w:line="360" w:lineRule="auto"/>
              <w:rPr>
                <w:rFonts w:ascii="Times New Roman" w:hAnsi="Times New Roman" w:cs="Times New Roman"/>
                <w:color w:val="000000"/>
                <w:szCs w:val="21"/>
                <w:highlight w:val="none"/>
              </w:rPr>
            </w:pPr>
          </w:p>
        </w:tc>
        <w:tc>
          <w:tcPr>
            <w:tcW w:w="1693" w:type="dxa"/>
            <w:vMerge w:val="continue"/>
            <w:tcBorders>
              <w:top w:val="single" w:color="auto" w:sz="4" w:space="0"/>
              <w:left w:val="single" w:color="auto" w:sz="4" w:space="0"/>
              <w:bottom w:val="single" w:color="auto" w:sz="4" w:space="0"/>
              <w:right w:val="single" w:color="auto" w:sz="4" w:space="0"/>
            </w:tcBorders>
            <w:vAlign w:val="center"/>
          </w:tcPr>
          <w:p w14:paraId="21129481">
            <w:pPr>
              <w:spacing w:line="360" w:lineRule="auto"/>
              <w:rPr>
                <w:rFonts w:ascii="Times New Roman" w:hAnsi="Times New Roman" w:cs="Times New Roman"/>
                <w:color w:val="000000"/>
                <w:szCs w:val="21"/>
                <w:highlight w:val="none"/>
              </w:rPr>
            </w:pPr>
          </w:p>
        </w:tc>
        <w:tc>
          <w:tcPr>
            <w:tcW w:w="1923" w:type="dxa"/>
            <w:tcBorders>
              <w:top w:val="single" w:color="000000" w:sz="4" w:space="0"/>
              <w:left w:val="single" w:color="auto" w:sz="4" w:space="0"/>
              <w:bottom w:val="single" w:color="000000" w:sz="4" w:space="0"/>
              <w:right w:val="single" w:color="000000" w:sz="4" w:space="0"/>
            </w:tcBorders>
            <w:vAlign w:val="center"/>
          </w:tcPr>
          <w:p w14:paraId="66AC39F4">
            <w:pPr>
              <w:pStyle w:val="24"/>
              <w:spacing w:line="360" w:lineRule="auto"/>
              <w:ind w:firstLine="0"/>
              <w:jc w:val="center"/>
              <w:rPr>
                <w:color w:val="000000"/>
                <w:highlight w:val="none"/>
              </w:rPr>
            </w:pPr>
            <w:r>
              <w:rPr>
                <w:color w:val="000000"/>
                <w:highlight w:val="none"/>
              </w:rPr>
              <w:t>资质要求</w:t>
            </w:r>
          </w:p>
        </w:tc>
        <w:tc>
          <w:tcPr>
            <w:tcW w:w="5372" w:type="dxa"/>
            <w:gridSpan w:val="2"/>
            <w:tcBorders>
              <w:top w:val="single" w:color="000000" w:sz="4" w:space="0"/>
              <w:left w:val="nil"/>
              <w:bottom w:val="single" w:color="000000" w:sz="4" w:space="0"/>
              <w:right w:val="single" w:color="000000" w:sz="4" w:space="0"/>
            </w:tcBorders>
            <w:vAlign w:val="center"/>
          </w:tcPr>
          <w:p w14:paraId="1DA14475">
            <w:pPr>
              <w:pStyle w:val="24"/>
              <w:spacing w:line="360" w:lineRule="auto"/>
              <w:ind w:firstLine="0"/>
              <w:rPr>
                <w:color w:val="000000"/>
                <w:highlight w:val="none"/>
              </w:rPr>
            </w:pPr>
            <w:r>
              <w:rPr>
                <w:color w:val="000000"/>
                <w:highlight w:val="none"/>
              </w:rPr>
              <w:t>符合第二章“</w:t>
            </w:r>
            <w:r>
              <w:rPr>
                <w:rFonts w:hint="eastAsia"/>
                <w:color w:val="000000"/>
                <w:highlight w:val="none"/>
              </w:rPr>
              <w:t>比选申请人</w:t>
            </w:r>
            <w:r>
              <w:rPr>
                <w:color w:val="000000"/>
                <w:highlight w:val="none"/>
              </w:rPr>
              <w:t>须知前附表”第7项规定</w:t>
            </w:r>
          </w:p>
        </w:tc>
      </w:tr>
      <w:tr w14:paraId="112CF3FC">
        <w:tblPrEx>
          <w:tblCellMar>
            <w:top w:w="0" w:type="dxa"/>
            <w:left w:w="108" w:type="dxa"/>
            <w:bottom w:w="0" w:type="dxa"/>
            <w:right w:w="108" w:type="dxa"/>
          </w:tblCellMar>
        </w:tblPrEx>
        <w:trPr>
          <w:gridAfter w:val="1"/>
          <w:wAfter w:w="9" w:type="dxa"/>
          <w:trHeight w:val="381" w:hRule="atLeast"/>
          <w:jc w:val="center"/>
        </w:trPr>
        <w:tc>
          <w:tcPr>
            <w:tcW w:w="851" w:type="dxa"/>
            <w:vMerge w:val="continue"/>
            <w:tcBorders>
              <w:top w:val="single" w:color="auto" w:sz="4" w:space="0"/>
              <w:left w:val="single" w:color="auto" w:sz="4" w:space="0"/>
              <w:bottom w:val="single" w:color="auto" w:sz="4" w:space="0"/>
              <w:right w:val="single" w:color="auto" w:sz="4" w:space="0"/>
            </w:tcBorders>
            <w:vAlign w:val="center"/>
          </w:tcPr>
          <w:p w14:paraId="0F0B23FC">
            <w:pPr>
              <w:spacing w:line="360" w:lineRule="auto"/>
              <w:rPr>
                <w:rFonts w:ascii="Times New Roman" w:hAnsi="Times New Roman" w:cs="Times New Roman"/>
                <w:color w:val="000000"/>
                <w:szCs w:val="21"/>
                <w:highlight w:val="none"/>
              </w:rPr>
            </w:pPr>
          </w:p>
        </w:tc>
        <w:tc>
          <w:tcPr>
            <w:tcW w:w="1693" w:type="dxa"/>
            <w:vMerge w:val="continue"/>
            <w:tcBorders>
              <w:top w:val="single" w:color="auto" w:sz="4" w:space="0"/>
              <w:left w:val="single" w:color="auto" w:sz="4" w:space="0"/>
              <w:bottom w:val="single" w:color="auto" w:sz="4" w:space="0"/>
              <w:right w:val="single" w:color="auto" w:sz="4" w:space="0"/>
            </w:tcBorders>
            <w:vAlign w:val="center"/>
          </w:tcPr>
          <w:p w14:paraId="719CB4F8">
            <w:pPr>
              <w:spacing w:line="360" w:lineRule="auto"/>
              <w:rPr>
                <w:rFonts w:ascii="Times New Roman" w:hAnsi="Times New Roman" w:cs="Times New Roman"/>
                <w:color w:val="000000"/>
                <w:szCs w:val="21"/>
                <w:highlight w:val="none"/>
              </w:rPr>
            </w:pPr>
          </w:p>
        </w:tc>
        <w:tc>
          <w:tcPr>
            <w:tcW w:w="1923" w:type="dxa"/>
            <w:tcBorders>
              <w:top w:val="single" w:color="000000" w:sz="4" w:space="0"/>
              <w:left w:val="single" w:color="auto" w:sz="4" w:space="0"/>
              <w:right w:val="single" w:color="000000" w:sz="4" w:space="0"/>
            </w:tcBorders>
            <w:vAlign w:val="center"/>
          </w:tcPr>
          <w:p w14:paraId="330C2EC5">
            <w:pPr>
              <w:pStyle w:val="24"/>
              <w:spacing w:line="360" w:lineRule="auto"/>
              <w:ind w:firstLine="0"/>
              <w:jc w:val="center"/>
              <w:rPr>
                <w:color w:val="000000"/>
                <w:highlight w:val="none"/>
              </w:rPr>
            </w:pPr>
            <w:r>
              <w:rPr>
                <w:color w:val="000000"/>
                <w:highlight w:val="none"/>
              </w:rPr>
              <w:t>业绩要求</w:t>
            </w:r>
          </w:p>
        </w:tc>
        <w:tc>
          <w:tcPr>
            <w:tcW w:w="5372" w:type="dxa"/>
            <w:gridSpan w:val="2"/>
            <w:tcBorders>
              <w:top w:val="single" w:color="000000" w:sz="4" w:space="0"/>
              <w:left w:val="nil"/>
              <w:right w:val="single" w:color="000000" w:sz="4" w:space="0"/>
            </w:tcBorders>
            <w:vAlign w:val="center"/>
          </w:tcPr>
          <w:p w14:paraId="4E835288">
            <w:pPr>
              <w:spacing w:line="360" w:lineRule="auto"/>
              <w:rPr>
                <w:rFonts w:ascii="Times New Roman" w:hAnsi="Times New Roman" w:cs="Times New Roman"/>
                <w:color w:val="000000"/>
                <w:kern w:val="0"/>
                <w:szCs w:val="21"/>
                <w:highlight w:val="none"/>
              </w:rPr>
            </w:pPr>
            <w:r>
              <w:rPr>
                <w:rFonts w:ascii="Times New Roman" w:hAnsi="Times New Roman" w:cs="Times New Roman"/>
                <w:color w:val="000000"/>
                <w:szCs w:val="21"/>
                <w:highlight w:val="none"/>
              </w:rPr>
              <w:t>符合第二章“</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须知前附表”第7项规定</w:t>
            </w:r>
          </w:p>
        </w:tc>
      </w:tr>
      <w:tr w14:paraId="1D089700">
        <w:tblPrEx>
          <w:tblCellMar>
            <w:top w:w="0" w:type="dxa"/>
            <w:left w:w="108" w:type="dxa"/>
            <w:bottom w:w="0" w:type="dxa"/>
            <w:right w:w="108" w:type="dxa"/>
          </w:tblCellMar>
        </w:tblPrEx>
        <w:trPr>
          <w:gridAfter w:val="1"/>
          <w:wAfter w:w="9" w:type="dxa"/>
          <w:trHeight w:val="488" w:hRule="atLeast"/>
          <w:jc w:val="center"/>
        </w:trPr>
        <w:tc>
          <w:tcPr>
            <w:tcW w:w="851" w:type="dxa"/>
            <w:vMerge w:val="continue"/>
            <w:tcBorders>
              <w:top w:val="single" w:color="auto" w:sz="4" w:space="0"/>
              <w:left w:val="single" w:color="auto" w:sz="4" w:space="0"/>
              <w:bottom w:val="single" w:color="auto" w:sz="4" w:space="0"/>
              <w:right w:val="single" w:color="auto" w:sz="4" w:space="0"/>
            </w:tcBorders>
            <w:vAlign w:val="center"/>
          </w:tcPr>
          <w:p w14:paraId="60D3E593">
            <w:pPr>
              <w:spacing w:line="360" w:lineRule="auto"/>
              <w:rPr>
                <w:rFonts w:ascii="Times New Roman" w:hAnsi="Times New Roman" w:cs="Times New Roman"/>
                <w:color w:val="000000"/>
                <w:szCs w:val="21"/>
                <w:highlight w:val="none"/>
              </w:rPr>
            </w:pPr>
          </w:p>
        </w:tc>
        <w:tc>
          <w:tcPr>
            <w:tcW w:w="1693" w:type="dxa"/>
            <w:vMerge w:val="continue"/>
            <w:tcBorders>
              <w:top w:val="single" w:color="auto" w:sz="4" w:space="0"/>
              <w:left w:val="single" w:color="auto" w:sz="4" w:space="0"/>
              <w:bottom w:val="single" w:color="auto" w:sz="4" w:space="0"/>
              <w:right w:val="single" w:color="auto" w:sz="4" w:space="0"/>
            </w:tcBorders>
            <w:vAlign w:val="center"/>
          </w:tcPr>
          <w:p w14:paraId="3B50F464">
            <w:pPr>
              <w:spacing w:line="360" w:lineRule="auto"/>
              <w:rPr>
                <w:rFonts w:ascii="Times New Roman" w:hAnsi="Times New Roman" w:cs="Times New Roman"/>
                <w:color w:val="000000"/>
                <w:szCs w:val="21"/>
                <w:highlight w:val="none"/>
              </w:rPr>
            </w:pPr>
          </w:p>
        </w:tc>
        <w:tc>
          <w:tcPr>
            <w:tcW w:w="1923" w:type="dxa"/>
            <w:tcBorders>
              <w:top w:val="single" w:color="000000" w:sz="4" w:space="0"/>
              <w:left w:val="single" w:color="auto" w:sz="4" w:space="0"/>
              <w:bottom w:val="single" w:color="000000" w:sz="4" w:space="0"/>
              <w:right w:val="single" w:color="000000" w:sz="4" w:space="0"/>
            </w:tcBorders>
            <w:vAlign w:val="center"/>
          </w:tcPr>
          <w:p w14:paraId="26D54F2E">
            <w:pPr>
              <w:pStyle w:val="24"/>
              <w:spacing w:line="360" w:lineRule="auto"/>
              <w:ind w:firstLine="0"/>
              <w:jc w:val="center"/>
              <w:rPr>
                <w:color w:val="000000"/>
                <w:highlight w:val="none"/>
              </w:rPr>
            </w:pPr>
            <w:r>
              <w:rPr>
                <w:rFonts w:hint="eastAsia"/>
                <w:color w:val="000000"/>
                <w:highlight w:val="none"/>
                <w:lang w:val="en-US" w:eastAsia="zh-CN"/>
              </w:rPr>
              <w:t>主要</w:t>
            </w:r>
            <w:r>
              <w:rPr>
                <w:color w:val="000000"/>
                <w:highlight w:val="none"/>
              </w:rPr>
              <w:t>人员要求</w:t>
            </w:r>
          </w:p>
        </w:tc>
        <w:tc>
          <w:tcPr>
            <w:tcW w:w="5372" w:type="dxa"/>
            <w:gridSpan w:val="2"/>
            <w:tcBorders>
              <w:top w:val="single" w:color="000000" w:sz="4" w:space="0"/>
              <w:left w:val="nil"/>
              <w:bottom w:val="single" w:color="000000" w:sz="4" w:space="0"/>
              <w:right w:val="single" w:color="000000" w:sz="4" w:space="0"/>
            </w:tcBorders>
            <w:vAlign w:val="center"/>
          </w:tcPr>
          <w:p w14:paraId="5234D08F">
            <w:pPr>
              <w:spacing w:line="360" w:lineRule="auto"/>
              <w:rPr>
                <w:rFonts w:ascii="Times New Roman" w:hAnsi="Times New Roman" w:cs="Times New Roman"/>
                <w:color w:val="000000"/>
                <w:szCs w:val="21"/>
                <w:highlight w:val="none"/>
              </w:rPr>
            </w:pPr>
            <w:r>
              <w:rPr>
                <w:rFonts w:ascii="Times New Roman" w:hAnsi="Times New Roman" w:cs="Times New Roman"/>
                <w:color w:val="000000"/>
                <w:szCs w:val="21"/>
                <w:highlight w:val="none"/>
              </w:rPr>
              <w:t>符合第二章“</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须知前附表”第7项规定</w:t>
            </w:r>
          </w:p>
        </w:tc>
      </w:tr>
      <w:tr w14:paraId="31B1DB3D">
        <w:tblPrEx>
          <w:tblCellMar>
            <w:top w:w="0" w:type="dxa"/>
            <w:left w:w="108" w:type="dxa"/>
            <w:bottom w:w="0" w:type="dxa"/>
            <w:right w:w="108" w:type="dxa"/>
          </w:tblCellMar>
        </w:tblPrEx>
        <w:trPr>
          <w:gridAfter w:val="1"/>
          <w:wAfter w:w="9" w:type="dxa"/>
          <w:trHeight w:val="449" w:hRule="atLeast"/>
          <w:jc w:val="center"/>
        </w:trPr>
        <w:tc>
          <w:tcPr>
            <w:tcW w:w="851" w:type="dxa"/>
            <w:vMerge w:val="continue"/>
            <w:tcBorders>
              <w:top w:val="single" w:color="auto" w:sz="4" w:space="0"/>
              <w:left w:val="single" w:color="auto" w:sz="4" w:space="0"/>
              <w:bottom w:val="single" w:color="auto" w:sz="4" w:space="0"/>
              <w:right w:val="single" w:color="auto" w:sz="4" w:space="0"/>
            </w:tcBorders>
            <w:vAlign w:val="center"/>
          </w:tcPr>
          <w:p w14:paraId="365E2F1B">
            <w:pPr>
              <w:spacing w:line="360" w:lineRule="auto"/>
              <w:rPr>
                <w:rFonts w:ascii="Times New Roman" w:hAnsi="Times New Roman" w:cs="Times New Roman"/>
                <w:color w:val="000000"/>
                <w:szCs w:val="21"/>
                <w:highlight w:val="none"/>
              </w:rPr>
            </w:pPr>
          </w:p>
        </w:tc>
        <w:tc>
          <w:tcPr>
            <w:tcW w:w="1693" w:type="dxa"/>
            <w:vMerge w:val="continue"/>
            <w:tcBorders>
              <w:top w:val="single" w:color="auto" w:sz="4" w:space="0"/>
              <w:left w:val="single" w:color="auto" w:sz="4" w:space="0"/>
              <w:bottom w:val="single" w:color="auto" w:sz="4" w:space="0"/>
              <w:right w:val="single" w:color="auto" w:sz="4" w:space="0"/>
            </w:tcBorders>
            <w:vAlign w:val="center"/>
          </w:tcPr>
          <w:p w14:paraId="74044DDB">
            <w:pPr>
              <w:spacing w:line="360" w:lineRule="auto"/>
              <w:rPr>
                <w:rFonts w:ascii="Times New Roman" w:hAnsi="Times New Roman" w:cs="Times New Roman"/>
                <w:color w:val="000000"/>
                <w:szCs w:val="21"/>
                <w:highlight w:val="none"/>
              </w:rPr>
            </w:pPr>
          </w:p>
        </w:tc>
        <w:tc>
          <w:tcPr>
            <w:tcW w:w="1923" w:type="dxa"/>
            <w:tcBorders>
              <w:top w:val="single" w:color="000000" w:sz="4" w:space="0"/>
              <w:left w:val="single" w:color="auto" w:sz="4" w:space="0"/>
              <w:bottom w:val="single" w:color="000000" w:sz="4" w:space="0"/>
              <w:right w:val="single" w:color="000000" w:sz="4" w:space="0"/>
            </w:tcBorders>
            <w:vAlign w:val="center"/>
          </w:tcPr>
          <w:p w14:paraId="327D4677">
            <w:pPr>
              <w:pStyle w:val="24"/>
              <w:spacing w:line="360" w:lineRule="auto"/>
              <w:ind w:firstLine="0"/>
              <w:jc w:val="center"/>
              <w:rPr>
                <w:color w:val="000000"/>
                <w:highlight w:val="none"/>
              </w:rPr>
            </w:pPr>
            <w:r>
              <w:rPr>
                <w:color w:val="000000"/>
                <w:highlight w:val="none"/>
              </w:rPr>
              <w:t>信誉要求</w:t>
            </w:r>
          </w:p>
        </w:tc>
        <w:tc>
          <w:tcPr>
            <w:tcW w:w="5372" w:type="dxa"/>
            <w:gridSpan w:val="2"/>
            <w:tcBorders>
              <w:top w:val="single" w:color="000000" w:sz="4" w:space="0"/>
              <w:left w:val="nil"/>
              <w:bottom w:val="single" w:color="000000" w:sz="4" w:space="0"/>
              <w:right w:val="single" w:color="000000" w:sz="4" w:space="0"/>
            </w:tcBorders>
            <w:vAlign w:val="center"/>
          </w:tcPr>
          <w:p w14:paraId="389BF5F3">
            <w:pPr>
              <w:spacing w:line="360" w:lineRule="auto"/>
              <w:rPr>
                <w:rFonts w:ascii="Times New Roman" w:hAnsi="Times New Roman" w:cs="Times New Roman"/>
                <w:color w:val="000000"/>
                <w:szCs w:val="21"/>
                <w:highlight w:val="none"/>
              </w:rPr>
            </w:pPr>
            <w:r>
              <w:rPr>
                <w:rFonts w:ascii="Times New Roman" w:hAnsi="Times New Roman" w:cs="Times New Roman"/>
                <w:color w:val="000000"/>
                <w:szCs w:val="21"/>
                <w:highlight w:val="none"/>
              </w:rPr>
              <w:t>符合第二章“</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须知前附表”第7项规定</w:t>
            </w:r>
          </w:p>
        </w:tc>
      </w:tr>
      <w:tr w14:paraId="0653E5B4">
        <w:tblPrEx>
          <w:tblCellMar>
            <w:top w:w="0" w:type="dxa"/>
            <w:left w:w="108" w:type="dxa"/>
            <w:bottom w:w="0" w:type="dxa"/>
            <w:right w:w="108" w:type="dxa"/>
          </w:tblCellMar>
        </w:tblPrEx>
        <w:trPr>
          <w:gridAfter w:val="1"/>
          <w:wAfter w:w="9" w:type="dxa"/>
          <w:trHeight w:val="449" w:hRule="atLeast"/>
          <w:jc w:val="center"/>
        </w:trPr>
        <w:tc>
          <w:tcPr>
            <w:tcW w:w="851" w:type="dxa"/>
            <w:vMerge w:val="continue"/>
            <w:tcBorders>
              <w:top w:val="single" w:color="auto" w:sz="4" w:space="0"/>
              <w:left w:val="single" w:color="auto" w:sz="4" w:space="0"/>
              <w:bottom w:val="single" w:color="auto" w:sz="4" w:space="0"/>
              <w:right w:val="single" w:color="auto" w:sz="4" w:space="0"/>
            </w:tcBorders>
            <w:vAlign w:val="center"/>
          </w:tcPr>
          <w:p w14:paraId="03D671B4">
            <w:pPr>
              <w:spacing w:line="360" w:lineRule="auto"/>
              <w:rPr>
                <w:rFonts w:ascii="Times New Roman" w:hAnsi="Times New Roman" w:cs="Times New Roman"/>
                <w:color w:val="000000"/>
                <w:szCs w:val="21"/>
                <w:highlight w:val="none"/>
              </w:rPr>
            </w:pPr>
          </w:p>
        </w:tc>
        <w:tc>
          <w:tcPr>
            <w:tcW w:w="1693" w:type="dxa"/>
            <w:vMerge w:val="continue"/>
            <w:tcBorders>
              <w:top w:val="single" w:color="auto" w:sz="4" w:space="0"/>
              <w:left w:val="single" w:color="auto" w:sz="4" w:space="0"/>
              <w:bottom w:val="single" w:color="auto" w:sz="4" w:space="0"/>
              <w:right w:val="single" w:color="auto" w:sz="4" w:space="0"/>
            </w:tcBorders>
            <w:vAlign w:val="center"/>
          </w:tcPr>
          <w:p w14:paraId="0D1A1FF8">
            <w:pPr>
              <w:spacing w:line="360" w:lineRule="auto"/>
              <w:rPr>
                <w:rFonts w:ascii="Times New Roman" w:hAnsi="Times New Roman" w:cs="Times New Roman"/>
                <w:color w:val="000000"/>
                <w:szCs w:val="21"/>
                <w:highlight w:val="none"/>
              </w:rPr>
            </w:pPr>
          </w:p>
        </w:tc>
        <w:tc>
          <w:tcPr>
            <w:tcW w:w="1923" w:type="dxa"/>
            <w:tcBorders>
              <w:top w:val="single" w:color="000000" w:sz="4" w:space="0"/>
              <w:left w:val="single" w:color="auto" w:sz="4" w:space="0"/>
              <w:bottom w:val="single" w:color="000000" w:sz="4" w:space="0"/>
              <w:right w:val="single" w:color="000000" w:sz="4" w:space="0"/>
            </w:tcBorders>
            <w:shd w:val="clear" w:color="auto" w:fill="auto"/>
            <w:vAlign w:val="center"/>
          </w:tcPr>
          <w:p w14:paraId="44A8D406">
            <w:pPr>
              <w:autoSpaceDE w:val="0"/>
              <w:autoSpaceDN w:val="0"/>
              <w:spacing w:line="240" w:lineRule="auto"/>
              <w:jc w:val="center"/>
              <w:rPr>
                <w:rFonts w:hint="eastAsia" w:ascii="宋体" w:hAnsi="宋体" w:eastAsia="宋体" w:cs="宋体"/>
                <w:color w:val="000000"/>
                <w:kern w:val="2"/>
                <w:sz w:val="21"/>
                <w:szCs w:val="22"/>
                <w:lang w:val="en-US" w:eastAsia="zh-CN" w:bidi="ar-SA"/>
              </w:rPr>
            </w:pPr>
            <w:r>
              <w:rPr>
                <w:rFonts w:hint="eastAsia" w:ascii="宋体" w:hAnsi="宋体" w:cs="宋体"/>
                <w:color w:val="000000"/>
                <w:lang w:val="en-US" w:eastAsia="zh-CN"/>
              </w:rPr>
              <w:t>入库要求</w:t>
            </w:r>
          </w:p>
        </w:tc>
        <w:tc>
          <w:tcPr>
            <w:tcW w:w="5372" w:type="dxa"/>
            <w:gridSpan w:val="2"/>
            <w:tcBorders>
              <w:top w:val="single" w:color="000000" w:sz="4" w:space="0"/>
              <w:left w:val="nil"/>
              <w:bottom w:val="single" w:color="000000" w:sz="4" w:space="0"/>
              <w:right w:val="single" w:color="000000" w:sz="4" w:space="0"/>
            </w:tcBorders>
            <w:shd w:val="clear" w:color="auto" w:fill="auto"/>
            <w:vAlign w:val="center"/>
          </w:tcPr>
          <w:p w14:paraId="2CF81788">
            <w:pPr>
              <w:spacing w:line="240" w:lineRule="auto"/>
              <w:jc w:val="left"/>
              <w:rPr>
                <w:rFonts w:hint="eastAsia" w:ascii="宋体" w:hAnsi="宋体" w:eastAsia="宋体" w:cs="宋体"/>
                <w:color w:val="000000"/>
                <w:kern w:val="2"/>
                <w:sz w:val="21"/>
                <w:szCs w:val="21"/>
                <w:lang w:val="en-US" w:eastAsia="zh-CN" w:bidi="ar-SA"/>
              </w:rPr>
            </w:pPr>
            <w:r>
              <w:rPr>
                <w:rFonts w:hint="eastAsia" w:ascii="宋体" w:hAnsi="宋体"/>
                <w:color w:val="000000"/>
                <w:szCs w:val="21"/>
                <w:lang w:val="en-US" w:eastAsia="zh-CN"/>
              </w:rPr>
              <w:t>符合第二章</w:t>
            </w:r>
            <w:r>
              <w:rPr>
                <w:rFonts w:ascii="Times New Roman" w:hAnsi="Times New Roman" w:cs="Times New Roman"/>
                <w:color w:val="000000"/>
                <w:szCs w:val="21"/>
                <w:highlight w:val="none"/>
              </w:rPr>
              <w:t>“</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须知前附表”第7项规定</w:t>
            </w:r>
          </w:p>
        </w:tc>
      </w:tr>
      <w:tr w14:paraId="053DA35A">
        <w:tblPrEx>
          <w:tblCellMar>
            <w:top w:w="0" w:type="dxa"/>
            <w:left w:w="108" w:type="dxa"/>
            <w:bottom w:w="0" w:type="dxa"/>
            <w:right w:w="108" w:type="dxa"/>
          </w:tblCellMar>
        </w:tblPrEx>
        <w:trPr>
          <w:gridAfter w:val="1"/>
          <w:wAfter w:w="9" w:type="dxa"/>
          <w:trHeight w:val="449" w:hRule="atLeast"/>
          <w:jc w:val="center"/>
        </w:trPr>
        <w:tc>
          <w:tcPr>
            <w:tcW w:w="851" w:type="dxa"/>
            <w:vMerge w:val="continue"/>
            <w:tcBorders>
              <w:top w:val="single" w:color="auto" w:sz="4" w:space="0"/>
              <w:left w:val="single" w:color="auto" w:sz="4" w:space="0"/>
              <w:bottom w:val="single" w:color="auto" w:sz="4" w:space="0"/>
              <w:right w:val="single" w:color="auto" w:sz="4" w:space="0"/>
            </w:tcBorders>
            <w:vAlign w:val="center"/>
          </w:tcPr>
          <w:p w14:paraId="6B8D8386">
            <w:pPr>
              <w:spacing w:line="360" w:lineRule="auto"/>
              <w:rPr>
                <w:rFonts w:ascii="Times New Roman" w:hAnsi="Times New Roman" w:cs="Times New Roman"/>
                <w:color w:val="000000"/>
                <w:szCs w:val="21"/>
                <w:highlight w:val="none"/>
              </w:rPr>
            </w:pPr>
          </w:p>
        </w:tc>
        <w:tc>
          <w:tcPr>
            <w:tcW w:w="1693" w:type="dxa"/>
            <w:vMerge w:val="continue"/>
            <w:tcBorders>
              <w:top w:val="single" w:color="auto" w:sz="4" w:space="0"/>
              <w:left w:val="single" w:color="auto" w:sz="4" w:space="0"/>
              <w:bottom w:val="single" w:color="auto" w:sz="4" w:space="0"/>
              <w:right w:val="single" w:color="auto" w:sz="4" w:space="0"/>
            </w:tcBorders>
            <w:vAlign w:val="center"/>
          </w:tcPr>
          <w:p w14:paraId="54DC67E4">
            <w:pPr>
              <w:spacing w:line="360" w:lineRule="auto"/>
              <w:rPr>
                <w:rFonts w:ascii="Times New Roman" w:hAnsi="Times New Roman" w:cs="Times New Roman"/>
                <w:color w:val="000000"/>
                <w:szCs w:val="21"/>
                <w:highlight w:val="none"/>
              </w:rPr>
            </w:pPr>
          </w:p>
        </w:tc>
        <w:tc>
          <w:tcPr>
            <w:tcW w:w="1923" w:type="dxa"/>
            <w:tcBorders>
              <w:top w:val="single" w:color="000000" w:sz="4" w:space="0"/>
              <w:left w:val="single" w:color="auto" w:sz="4" w:space="0"/>
              <w:bottom w:val="single" w:color="000000" w:sz="4" w:space="0"/>
              <w:right w:val="single" w:color="000000" w:sz="4" w:space="0"/>
            </w:tcBorders>
            <w:vAlign w:val="center"/>
          </w:tcPr>
          <w:p w14:paraId="205E5C40">
            <w:pPr>
              <w:autoSpaceDE w:val="0"/>
              <w:autoSpaceDN w:val="0"/>
              <w:spacing w:line="240" w:lineRule="auto"/>
              <w:jc w:val="center"/>
              <w:rPr>
                <w:rFonts w:ascii="宋体" w:hAnsi="宋体" w:eastAsia="宋体" w:cs="宋体"/>
                <w:kern w:val="2"/>
                <w:sz w:val="21"/>
                <w:szCs w:val="22"/>
                <w:lang w:val="en-US" w:eastAsia="zh-CN" w:bidi="ar-SA"/>
              </w:rPr>
            </w:pPr>
            <w:r>
              <w:rPr>
                <w:rFonts w:hint="eastAsia" w:ascii="宋体" w:hAnsi="宋体" w:cs="宋体"/>
                <w:color w:val="000000"/>
              </w:rPr>
              <w:t>不存在</w:t>
            </w:r>
            <w:r>
              <w:rPr>
                <w:rFonts w:hint="eastAsia" w:ascii="宋体" w:hAnsi="宋体" w:cs="宋体"/>
                <w:color w:val="000000"/>
                <w:lang w:val="en-US" w:eastAsia="zh-CN"/>
              </w:rPr>
              <w:t>限制参选的</w:t>
            </w:r>
            <w:r>
              <w:rPr>
                <w:rFonts w:hint="eastAsia" w:ascii="宋体" w:hAnsi="宋体" w:cs="宋体"/>
                <w:color w:val="000000"/>
              </w:rPr>
              <w:t>情形</w:t>
            </w:r>
          </w:p>
        </w:tc>
        <w:tc>
          <w:tcPr>
            <w:tcW w:w="5372" w:type="dxa"/>
            <w:gridSpan w:val="2"/>
            <w:tcBorders>
              <w:top w:val="single" w:color="000000" w:sz="4" w:space="0"/>
              <w:left w:val="nil"/>
              <w:bottom w:val="single" w:color="000000" w:sz="4" w:space="0"/>
              <w:right w:val="single" w:color="000000" w:sz="4" w:space="0"/>
            </w:tcBorders>
            <w:vAlign w:val="center"/>
          </w:tcPr>
          <w:p w14:paraId="23D5E501">
            <w:pPr>
              <w:spacing w:line="240" w:lineRule="auto"/>
              <w:jc w:val="left"/>
              <w:rPr>
                <w:rFonts w:hint="eastAsia" w:ascii="宋体" w:hAnsi="宋体" w:eastAsia="宋体" w:cs="宋体"/>
                <w:kern w:val="2"/>
                <w:sz w:val="21"/>
                <w:szCs w:val="22"/>
                <w:lang w:val="en-US" w:eastAsia="zh-CN" w:bidi="ar-SA"/>
              </w:rPr>
            </w:pPr>
            <w:r>
              <w:rPr>
                <w:rFonts w:hint="eastAsia" w:ascii="宋体" w:hAnsi="宋体"/>
                <w:color w:val="000000"/>
                <w:szCs w:val="21"/>
              </w:rPr>
              <w:t>不存在第二章“投标人须知前附表”</w:t>
            </w:r>
            <w:r>
              <w:rPr>
                <w:rFonts w:ascii="Times New Roman" w:hAnsi="Times New Roman" w:cs="Times New Roman"/>
                <w:color w:val="000000"/>
                <w:szCs w:val="21"/>
                <w:highlight w:val="none"/>
              </w:rPr>
              <w:t>第</w:t>
            </w:r>
            <w:r>
              <w:rPr>
                <w:rFonts w:hint="eastAsia" w:ascii="Times New Roman" w:hAnsi="Times New Roman" w:cs="Times New Roman"/>
                <w:color w:val="000000"/>
                <w:szCs w:val="21"/>
                <w:highlight w:val="none"/>
                <w:lang w:val="en-US" w:eastAsia="zh-CN"/>
              </w:rPr>
              <w:t>9</w:t>
            </w:r>
            <w:r>
              <w:rPr>
                <w:rFonts w:ascii="Times New Roman" w:hAnsi="Times New Roman" w:cs="Times New Roman"/>
                <w:color w:val="000000"/>
                <w:szCs w:val="21"/>
                <w:highlight w:val="none"/>
              </w:rPr>
              <w:t>项</w:t>
            </w:r>
            <w:r>
              <w:rPr>
                <w:rFonts w:hint="eastAsia" w:ascii="宋体" w:hAnsi="宋体"/>
                <w:color w:val="000000"/>
                <w:szCs w:val="21"/>
              </w:rPr>
              <w:t>规定任何一种情形</w:t>
            </w:r>
          </w:p>
        </w:tc>
      </w:tr>
      <w:tr w14:paraId="1EDAFBBD">
        <w:tblPrEx>
          <w:tblCellMar>
            <w:top w:w="0" w:type="dxa"/>
            <w:left w:w="108" w:type="dxa"/>
            <w:bottom w:w="0" w:type="dxa"/>
            <w:right w:w="108" w:type="dxa"/>
          </w:tblCellMar>
        </w:tblPrEx>
        <w:trPr>
          <w:gridAfter w:val="1"/>
          <w:wAfter w:w="9" w:type="dxa"/>
          <w:trHeight w:val="455" w:hRule="atLeast"/>
          <w:jc w:val="center"/>
        </w:trPr>
        <w:tc>
          <w:tcPr>
            <w:tcW w:w="851" w:type="dxa"/>
            <w:vMerge w:val="continue"/>
            <w:tcBorders>
              <w:top w:val="single" w:color="auto" w:sz="4" w:space="0"/>
              <w:left w:val="single" w:color="auto" w:sz="4" w:space="0"/>
              <w:bottom w:val="single" w:color="auto" w:sz="4" w:space="0"/>
              <w:right w:val="single" w:color="auto" w:sz="4" w:space="0"/>
            </w:tcBorders>
            <w:vAlign w:val="center"/>
          </w:tcPr>
          <w:p w14:paraId="07DA9D2A">
            <w:pPr>
              <w:spacing w:line="360" w:lineRule="auto"/>
              <w:rPr>
                <w:rFonts w:ascii="Times New Roman" w:hAnsi="Times New Roman" w:cs="Times New Roman"/>
                <w:color w:val="000000"/>
                <w:szCs w:val="21"/>
                <w:highlight w:val="none"/>
              </w:rPr>
            </w:pPr>
          </w:p>
        </w:tc>
        <w:tc>
          <w:tcPr>
            <w:tcW w:w="1693" w:type="dxa"/>
            <w:vMerge w:val="continue"/>
            <w:tcBorders>
              <w:top w:val="single" w:color="auto" w:sz="4" w:space="0"/>
              <w:left w:val="single" w:color="auto" w:sz="4" w:space="0"/>
              <w:bottom w:val="single" w:color="auto" w:sz="4" w:space="0"/>
              <w:right w:val="single" w:color="auto" w:sz="4" w:space="0"/>
            </w:tcBorders>
            <w:vAlign w:val="center"/>
          </w:tcPr>
          <w:p w14:paraId="4A54E97D">
            <w:pPr>
              <w:spacing w:line="360" w:lineRule="auto"/>
              <w:rPr>
                <w:rFonts w:ascii="Times New Roman" w:hAnsi="Times New Roman" w:cs="Times New Roman"/>
                <w:color w:val="000000"/>
                <w:szCs w:val="21"/>
                <w:highlight w:val="none"/>
              </w:rPr>
            </w:pPr>
          </w:p>
        </w:tc>
        <w:tc>
          <w:tcPr>
            <w:tcW w:w="7295" w:type="dxa"/>
            <w:gridSpan w:val="3"/>
            <w:tcBorders>
              <w:top w:val="single" w:color="000000" w:sz="4" w:space="0"/>
              <w:left w:val="single" w:color="auto" w:sz="4" w:space="0"/>
              <w:bottom w:val="single" w:color="000000" w:sz="4" w:space="0"/>
              <w:right w:val="single" w:color="000000" w:sz="4" w:space="0"/>
            </w:tcBorders>
            <w:vAlign w:val="center"/>
          </w:tcPr>
          <w:p w14:paraId="7765968E">
            <w:pPr>
              <w:pStyle w:val="24"/>
              <w:spacing w:line="360" w:lineRule="auto"/>
              <w:ind w:firstLine="0"/>
              <w:rPr>
                <w:color w:val="000000"/>
                <w:highlight w:val="none"/>
              </w:rPr>
            </w:pPr>
            <w:r>
              <w:rPr>
                <w:b/>
                <w:color w:val="000000"/>
                <w:highlight w:val="none"/>
              </w:rPr>
              <w:t>以上评审有一条不通过，则视为资格评审标准不通过，不进入下一步评审，其</w:t>
            </w:r>
            <w:r>
              <w:rPr>
                <w:rFonts w:hint="eastAsia"/>
                <w:b/>
                <w:color w:val="000000"/>
                <w:highlight w:val="none"/>
              </w:rPr>
              <w:t>比选申请文件</w:t>
            </w:r>
            <w:r>
              <w:rPr>
                <w:b/>
                <w:color w:val="000000"/>
                <w:highlight w:val="none"/>
              </w:rPr>
              <w:t>无效。</w:t>
            </w:r>
          </w:p>
        </w:tc>
      </w:tr>
      <w:tr w14:paraId="3E420F23">
        <w:tblPrEx>
          <w:tblCellMar>
            <w:top w:w="0" w:type="dxa"/>
            <w:left w:w="108" w:type="dxa"/>
            <w:bottom w:w="0" w:type="dxa"/>
            <w:right w:w="108" w:type="dxa"/>
          </w:tblCellMar>
        </w:tblPrEx>
        <w:trPr>
          <w:gridAfter w:val="1"/>
          <w:wAfter w:w="9" w:type="dxa"/>
          <w:trHeight w:val="485" w:hRule="atLeast"/>
          <w:jc w:val="center"/>
        </w:trPr>
        <w:tc>
          <w:tcPr>
            <w:tcW w:w="851" w:type="dxa"/>
            <w:vMerge w:val="restart"/>
            <w:tcBorders>
              <w:top w:val="single" w:color="auto" w:sz="4" w:space="0"/>
              <w:left w:val="single" w:color="auto" w:sz="4" w:space="0"/>
              <w:bottom w:val="single" w:color="auto" w:sz="4" w:space="0"/>
              <w:right w:val="single" w:color="auto" w:sz="4" w:space="0"/>
            </w:tcBorders>
            <w:vAlign w:val="center"/>
          </w:tcPr>
          <w:p w14:paraId="25963964">
            <w:pPr>
              <w:spacing w:line="360" w:lineRule="auto"/>
              <w:jc w:val="center"/>
              <w:rPr>
                <w:rFonts w:hint="default" w:ascii="Times New Roman" w:hAnsi="Times New Roman" w:eastAsia="宋体" w:cs="Times New Roman"/>
                <w:color w:val="000000"/>
                <w:szCs w:val="21"/>
                <w:highlight w:val="none"/>
                <w:lang w:val="en-US" w:eastAsia="zh-CN"/>
              </w:rPr>
            </w:pPr>
            <w:r>
              <w:rPr>
                <w:rFonts w:hint="eastAsia" w:ascii="Times New Roman" w:hAnsi="Times New Roman" w:cs="Times New Roman"/>
                <w:color w:val="000000"/>
                <w:szCs w:val="21"/>
                <w:highlight w:val="none"/>
                <w:lang w:val="en-US" w:eastAsia="zh-CN"/>
              </w:rPr>
              <w:t>1.3</w:t>
            </w:r>
          </w:p>
        </w:tc>
        <w:tc>
          <w:tcPr>
            <w:tcW w:w="1693" w:type="dxa"/>
            <w:vMerge w:val="restart"/>
            <w:tcBorders>
              <w:top w:val="single" w:color="auto" w:sz="4" w:space="0"/>
              <w:left w:val="single" w:color="auto" w:sz="4" w:space="0"/>
              <w:bottom w:val="single" w:color="auto" w:sz="4" w:space="0"/>
              <w:right w:val="single" w:color="auto" w:sz="4" w:space="0"/>
            </w:tcBorders>
            <w:vAlign w:val="center"/>
          </w:tcPr>
          <w:p w14:paraId="0B38C57E">
            <w:pPr>
              <w:spacing w:line="360" w:lineRule="auto"/>
              <w:rPr>
                <w:rFonts w:ascii="Times New Roman" w:hAnsi="Times New Roman" w:cs="Times New Roman"/>
                <w:color w:val="000000"/>
                <w:szCs w:val="21"/>
                <w:highlight w:val="none"/>
              </w:rPr>
            </w:pPr>
            <w:r>
              <w:rPr>
                <w:rFonts w:hint="eastAsia"/>
                <w:color w:val="000000"/>
                <w:highlight w:val="none"/>
                <w:lang w:val="en-US" w:eastAsia="zh-CN"/>
              </w:rPr>
              <w:t>响应性</w:t>
            </w:r>
            <w:r>
              <w:rPr>
                <w:color w:val="000000"/>
                <w:highlight w:val="none"/>
              </w:rPr>
              <w:t>评审标准</w:t>
            </w:r>
          </w:p>
        </w:tc>
        <w:tc>
          <w:tcPr>
            <w:tcW w:w="1923" w:type="dxa"/>
            <w:tcBorders>
              <w:top w:val="single" w:color="000000" w:sz="4" w:space="0"/>
              <w:left w:val="single" w:color="auto" w:sz="4" w:space="0"/>
              <w:bottom w:val="single" w:color="000000" w:sz="4" w:space="0"/>
              <w:right w:val="single" w:color="000000" w:sz="4" w:space="0"/>
            </w:tcBorders>
            <w:vAlign w:val="center"/>
          </w:tcPr>
          <w:p w14:paraId="2A46ABFE">
            <w:pPr>
              <w:jc w:val="center"/>
              <w:rPr>
                <w:rFonts w:ascii="Times New Roman" w:hAnsi="Times New Roman" w:eastAsia="宋体" w:cs="Times New Roman"/>
                <w:color w:val="000000"/>
                <w:kern w:val="2"/>
                <w:sz w:val="21"/>
                <w:szCs w:val="21"/>
                <w:highlight w:val="none"/>
                <w:lang w:val="en-US" w:eastAsia="zh-CN" w:bidi="ar-SA"/>
              </w:rPr>
            </w:pP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范围</w:t>
            </w:r>
          </w:p>
        </w:tc>
        <w:tc>
          <w:tcPr>
            <w:tcW w:w="5372" w:type="dxa"/>
            <w:gridSpan w:val="2"/>
            <w:tcBorders>
              <w:top w:val="single" w:color="000000" w:sz="4" w:space="0"/>
              <w:left w:val="nil"/>
              <w:bottom w:val="single" w:color="000000" w:sz="4" w:space="0"/>
              <w:right w:val="single" w:color="000000" w:sz="4" w:space="0"/>
            </w:tcBorders>
            <w:vAlign w:val="center"/>
          </w:tcPr>
          <w:p w14:paraId="03446172">
            <w:pPr>
              <w:rPr>
                <w:rFonts w:ascii="Times New Roman" w:hAnsi="Times New Roman" w:eastAsia="宋体" w:cs="Times New Roman"/>
                <w:color w:val="000000"/>
                <w:kern w:val="2"/>
                <w:sz w:val="21"/>
                <w:szCs w:val="21"/>
                <w:highlight w:val="none"/>
                <w:lang w:val="en-US" w:eastAsia="zh-CN" w:bidi="ar-SA"/>
              </w:rPr>
            </w:pPr>
            <w:r>
              <w:rPr>
                <w:rFonts w:ascii="Times New Roman" w:hAnsi="Times New Roman" w:cs="Times New Roman"/>
                <w:color w:val="000000"/>
                <w:szCs w:val="21"/>
                <w:highlight w:val="none"/>
              </w:rPr>
              <w:t>符合第二章“</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须知前附表”第4项规定</w:t>
            </w:r>
          </w:p>
        </w:tc>
      </w:tr>
      <w:tr w14:paraId="5AA2A77E">
        <w:tblPrEx>
          <w:tblCellMar>
            <w:top w:w="0" w:type="dxa"/>
            <w:left w:w="108" w:type="dxa"/>
            <w:bottom w:w="0" w:type="dxa"/>
            <w:right w:w="108" w:type="dxa"/>
          </w:tblCellMar>
        </w:tblPrEx>
        <w:trPr>
          <w:gridAfter w:val="1"/>
          <w:wAfter w:w="9" w:type="dxa"/>
          <w:trHeight w:val="485" w:hRule="atLeast"/>
          <w:jc w:val="center"/>
        </w:trPr>
        <w:tc>
          <w:tcPr>
            <w:tcW w:w="851" w:type="dxa"/>
            <w:vMerge w:val="continue"/>
            <w:tcBorders>
              <w:top w:val="single" w:color="auto" w:sz="4" w:space="0"/>
              <w:left w:val="single" w:color="auto" w:sz="4" w:space="0"/>
              <w:bottom w:val="single" w:color="auto" w:sz="4" w:space="0"/>
              <w:right w:val="single" w:color="000000" w:sz="4" w:space="0"/>
            </w:tcBorders>
            <w:vAlign w:val="center"/>
          </w:tcPr>
          <w:p w14:paraId="3EADFD11">
            <w:pPr>
              <w:spacing w:line="360" w:lineRule="auto"/>
              <w:jc w:val="center"/>
              <w:rPr>
                <w:rFonts w:hint="default" w:ascii="Times New Roman" w:hAnsi="Times New Roman" w:eastAsia="宋体" w:cs="Times New Roman"/>
                <w:color w:val="000000"/>
                <w:szCs w:val="21"/>
                <w:highlight w:val="none"/>
                <w:lang w:val="en-US" w:eastAsia="zh-CN"/>
              </w:rPr>
            </w:pPr>
          </w:p>
        </w:tc>
        <w:tc>
          <w:tcPr>
            <w:tcW w:w="1693" w:type="dxa"/>
            <w:vMerge w:val="continue"/>
            <w:tcBorders>
              <w:top w:val="single" w:color="auto" w:sz="4" w:space="0"/>
              <w:left w:val="nil"/>
              <w:bottom w:val="single" w:color="auto" w:sz="4" w:space="0"/>
              <w:right w:val="single" w:color="auto" w:sz="4" w:space="0"/>
            </w:tcBorders>
            <w:vAlign w:val="center"/>
          </w:tcPr>
          <w:p w14:paraId="112E2CDD">
            <w:pPr>
              <w:spacing w:line="360" w:lineRule="auto"/>
              <w:rPr>
                <w:rFonts w:ascii="Times New Roman" w:hAnsi="Times New Roman" w:cs="Times New Roman"/>
                <w:color w:val="000000"/>
                <w:szCs w:val="21"/>
                <w:highlight w:val="none"/>
              </w:rPr>
            </w:pPr>
          </w:p>
        </w:tc>
        <w:tc>
          <w:tcPr>
            <w:tcW w:w="1923" w:type="dxa"/>
            <w:tcBorders>
              <w:top w:val="single" w:color="000000" w:sz="4" w:space="0"/>
              <w:left w:val="single" w:color="auto" w:sz="4" w:space="0"/>
              <w:bottom w:val="single" w:color="000000" w:sz="4" w:space="0"/>
              <w:right w:val="single" w:color="000000" w:sz="4" w:space="0"/>
            </w:tcBorders>
            <w:vAlign w:val="center"/>
          </w:tcPr>
          <w:p w14:paraId="3D684807">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计划工期</w:t>
            </w:r>
          </w:p>
        </w:tc>
        <w:tc>
          <w:tcPr>
            <w:tcW w:w="5372" w:type="dxa"/>
            <w:gridSpan w:val="2"/>
            <w:tcBorders>
              <w:top w:val="single" w:color="000000" w:sz="4" w:space="0"/>
              <w:left w:val="nil"/>
              <w:bottom w:val="single" w:color="000000" w:sz="4" w:space="0"/>
              <w:right w:val="single" w:color="000000" w:sz="4" w:space="0"/>
            </w:tcBorders>
            <w:vAlign w:val="center"/>
          </w:tcPr>
          <w:p w14:paraId="6538708E">
            <w:pPr>
              <w:rPr>
                <w:rFonts w:ascii="Times New Roman" w:hAnsi="Times New Roman" w:cs="Times New Roman"/>
                <w:color w:val="000000"/>
                <w:szCs w:val="21"/>
                <w:highlight w:val="none"/>
              </w:rPr>
            </w:pPr>
            <w:r>
              <w:rPr>
                <w:rFonts w:ascii="Times New Roman" w:hAnsi="Times New Roman" w:cs="Times New Roman"/>
                <w:color w:val="000000"/>
                <w:szCs w:val="21"/>
                <w:highlight w:val="none"/>
              </w:rPr>
              <w:t>符合第二章“</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须知前附表”第5项规定</w:t>
            </w:r>
          </w:p>
        </w:tc>
      </w:tr>
      <w:tr w14:paraId="28CBBBA9">
        <w:tblPrEx>
          <w:tblCellMar>
            <w:top w:w="0" w:type="dxa"/>
            <w:left w:w="108" w:type="dxa"/>
            <w:bottom w:w="0" w:type="dxa"/>
            <w:right w:w="108" w:type="dxa"/>
          </w:tblCellMar>
        </w:tblPrEx>
        <w:trPr>
          <w:gridAfter w:val="1"/>
          <w:wAfter w:w="9" w:type="dxa"/>
          <w:trHeight w:val="433" w:hRule="atLeast"/>
          <w:jc w:val="center"/>
        </w:trPr>
        <w:tc>
          <w:tcPr>
            <w:tcW w:w="851" w:type="dxa"/>
            <w:vMerge w:val="continue"/>
            <w:tcBorders>
              <w:top w:val="single" w:color="auto" w:sz="4" w:space="0"/>
              <w:left w:val="single" w:color="auto" w:sz="4" w:space="0"/>
              <w:bottom w:val="single" w:color="auto" w:sz="4" w:space="0"/>
              <w:right w:val="single" w:color="000000" w:sz="4" w:space="0"/>
            </w:tcBorders>
            <w:vAlign w:val="center"/>
          </w:tcPr>
          <w:p w14:paraId="20F9EC6D">
            <w:pPr>
              <w:spacing w:line="360" w:lineRule="auto"/>
              <w:rPr>
                <w:rFonts w:ascii="Times New Roman" w:hAnsi="Times New Roman" w:cs="Times New Roman"/>
                <w:color w:val="000000"/>
                <w:szCs w:val="21"/>
                <w:highlight w:val="none"/>
              </w:rPr>
            </w:pPr>
          </w:p>
        </w:tc>
        <w:tc>
          <w:tcPr>
            <w:tcW w:w="1693" w:type="dxa"/>
            <w:vMerge w:val="continue"/>
            <w:tcBorders>
              <w:top w:val="single" w:color="auto" w:sz="4" w:space="0"/>
              <w:left w:val="nil"/>
              <w:bottom w:val="single" w:color="auto" w:sz="4" w:space="0"/>
              <w:right w:val="single" w:color="auto" w:sz="4" w:space="0"/>
            </w:tcBorders>
            <w:vAlign w:val="center"/>
          </w:tcPr>
          <w:p w14:paraId="3A89AE72">
            <w:pPr>
              <w:spacing w:line="360" w:lineRule="auto"/>
              <w:rPr>
                <w:rFonts w:ascii="Times New Roman" w:hAnsi="Times New Roman" w:cs="Times New Roman"/>
                <w:color w:val="000000"/>
                <w:szCs w:val="21"/>
                <w:highlight w:val="none"/>
              </w:rPr>
            </w:pPr>
          </w:p>
        </w:tc>
        <w:tc>
          <w:tcPr>
            <w:tcW w:w="1923" w:type="dxa"/>
            <w:tcBorders>
              <w:top w:val="single" w:color="000000" w:sz="4" w:space="0"/>
              <w:left w:val="single" w:color="auto" w:sz="4" w:space="0"/>
              <w:bottom w:val="single" w:color="000000" w:sz="4" w:space="0"/>
              <w:right w:val="single" w:color="000000" w:sz="4" w:space="0"/>
            </w:tcBorders>
            <w:vAlign w:val="center"/>
          </w:tcPr>
          <w:p w14:paraId="329EC5A4">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质量要求</w:t>
            </w:r>
          </w:p>
        </w:tc>
        <w:tc>
          <w:tcPr>
            <w:tcW w:w="5372" w:type="dxa"/>
            <w:gridSpan w:val="2"/>
            <w:tcBorders>
              <w:top w:val="single" w:color="000000" w:sz="4" w:space="0"/>
              <w:left w:val="nil"/>
              <w:bottom w:val="single" w:color="000000" w:sz="4" w:space="0"/>
              <w:right w:val="single" w:color="000000" w:sz="4" w:space="0"/>
            </w:tcBorders>
            <w:vAlign w:val="center"/>
          </w:tcPr>
          <w:p w14:paraId="5E062936">
            <w:pPr>
              <w:rPr>
                <w:rFonts w:ascii="Times New Roman" w:hAnsi="Times New Roman" w:cs="Times New Roman"/>
                <w:color w:val="000000"/>
                <w:szCs w:val="21"/>
                <w:highlight w:val="none"/>
              </w:rPr>
            </w:pPr>
            <w:r>
              <w:rPr>
                <w:rFonts w:ascii="Times New Roman" w:hAnsi="Times New Roman" w:cs="Times New Roman"/>
                <w:color w:val="000000"/>
                <w:szCs w:val="21"/>
                <w:highlight w:val="none"/>
              </w:rPr>
              <w:t>符合第二章“</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须知前附表”第6项规定</w:t>
            </w:r>
          </w:p>
        </w:tc>
      </w:tr>
      <w:tr w14:paraId="134F058E">
        <w:tblPrEx>
          <w:tblCellMar>
            <w:top w:w="0" w:type="dxa"/>
            <w:left w:w="108" w:type="dxa"/>
            <w:bottom w:w="0" w:type="dxa"/>
            <w:right w:w="108" w:type="dxa"/>
          </w:tblCellMar>
        </w:tblPrEx>
        <w:trPr>
          <w:gridAfter w:val="1"/>
          <w:wAfter w:w="9" w:type="dxa"/>
          <w:trHeight w:val="506" w:hRule="atLeast"/>
          <w:jc w:val="center"/>
        </w:trPr>
        <w:tc>
          <w:tcPr>
            <w:tcW w:w="851" w:type="dxa"/>
            <w:vMerge w:val="continue"/>
            <w:tcBorders>
              <w:top w:val="single" w:color="auto" w:sz="4" w:space="0"/>
              <w:left w:val="single" w:color="auto" w:sz="4" w:space="0"/>
              <w:bottom w:val="single" w:color="auto" w:sz="4" w:space="0"/>
              <w:right w:val="single" w:color="000000" w:sz="4" w:space="0"/>
            </w:tcBorders>
            <w:vAlign w:val="center"/>
          </w:tcPr>
          <w:p w14:paraId="17F122DC">
            <w:pPr>
              <w:spacing w:line="360" w:lineRule="auto"/>
              <w:rPr>
                <w:rFonts w:ascii="Times New Roman" w:hAnsi="Times New Roman" w:cs="Times New Roman"/>
                <w:color w:val="000000"/>
                <w:szCs w:val="21"/>
                <w:highlight w:val="none"/>
              </w:rPr>
            </w:pPr>
          </w:p>
        </w:tc>
        <w:tc>
          <w:tcPr>
            <w:tcW w:w="1693" w:type="dxa"/>
            <w:vMerge w:val="continue"/>
            <w:tcBorders>
              <w:top w:val="single" w:color="auto" w:sz="4" w:space="0"/>
              <w:left w:val="nil"/>
              <w:bottom w:val="single" w:color="auto" w:sz="4" w:space="0"/>
              <w:right w:val="single" w:color="auto" w:sz="4" w:space="0"/>
            </w:tcBorders>
            <w:vAlign w:val="center"/>
          </w:tcPr>
          <w:p w14:paraId="1F916810">
            <w:pPr>
              <w:spacing w:line="360" w:lineRule="auto"/>
              <w:rPr>
                <w:rFonts w:ascii="Times New Roman" w:hAnsi="Times New Roman" w:cs="Times New Roman"/>
                <w:color w:val="000000"/>
                <w:szCs w:val="21"/>
                <w:highlight w:val="none"/>
              </w:rPr>
            </w:pPr>
          </w:p>
        </w:tc>
        <w:tc>
          <w:tcPr>
            <w:tcW w:w="1923" w:type="dxa"/>
            <w:tcBorders>
              <w:top w:val="single" w:color="000000" w:sz="4" w:space="0"/>
              <w:left w:val="single" w:color="auto" w:sz="4" w:space="0"/>
              <w:bottom w:val="single" w:color="000000" w:sz="4" w:space="0"/>
              <w:right w:val="single" w:color="000000" w:sz="4" w:space="0"/>
            </w:tcBorders>
            <w:vAlign w:val="center"/>
          </w:tcPr>
          <w:p w14:paraId="631D1BDC">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有效期</w:t>
            </w:r>
          </w:p>
        </w:tc>
        <w:tc>
          <w:tcPr>
            <w:tcW w:w="5372" w:type="dxa"/>
            <w:gridSpan w:val="2"/>
            <w:tcBorders>
              <w:top w:val="single" w:color="000000" w:sz="4" w:space="0"/>
              <w:left w:val="nil"/>
              <w:bottom w:val="single" w:color="000000" w:sz="4" w:space="0"/>
              <w:right w:val="single" w:color="000000" w:sz="4" w:space="0"/>
            </w:tcBorders>
            <w:vAlign w:val="center"/>
          </w:tcPr>
          <w:p w14:paraId="5FA8CF6F">
            <w:pPr>
              <w:rPr>
                <w:rFonts w:ascii="Times New Roman" w:hAnsi="Times New Roman" w:cs="Times New Roman"/>
                <w:color w:val="000000"/>
                <w:szCs w:val="21"/>
                <w:highlight w:val="none"/>
              </w:rPr>
            </w:pPr>
            <w:r>
              <w:rPr>
                <w:rFonts w:ascii="Times New Roman" w:hAnsi="Times New Roman" w:cs="Times New Roman"/>
                <w:color w:val="000000"/>
                <w:szCs w:val="21"/>
                <w:highlight w:val="none"/>
              </w:rPr>
              <w:t>符合第二章“</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须知前附表”第24项规定</w:t>
            </w:r>
          </w:p>
        </w:tc>
      </w:tr>
      <w:tr w14:paraId="51DF8310">
        <w:tblPrEx>
          <w:tblCellMar>
            <w:top w:w="0" w:type="dxa"/>
            <w:left w:w="108" w:type="dxa"/>
            <w:bottom w:w="0" w:type="dxa"/>
            <w:right w:w="108" w:type="dxa"/>
          </w:tblCellMar>
        </w:tblPrEx>
        <w:trPr>
          <w:gridAfter w:val="1"/>
          <w:wAfter w:w="9" w:type="dxa"/>
          <w:trHeight w:val="506" w:hRule="atLeast"/>
          <w:jc w:val="center"/>
        </w:trPr>
        <w:tc>
          <w:tcPr>
            <w:tcW w:w="851" w:type="dxa"/>
            <w:vMerge w:val="continue"/>
            <w:tcBorders>
              <w:top w:val="single" w:color="auto" w:sz="4" w:space="0"/>
              <w:left w:val="single" w:color="auto" w:sz="4" w:space="0"/>
              <w:bottom w:val="single" w:color="auto" w:sz="4" w:space="0"/>
              <w:right w:val="single" w:color="000000" w:sz="4" w:space="0"/>
            </w:tcBorders>
            <w:vAlign w:val="center"/>
          </w:tcPr>
          <w:p w14:paraId="53A81B61">
            <w:pPr>
              <w:spacing w:line="360" w:lineRule="auto"/>
              <w:rPr>
                <w:rFonts w:ascii="Times New Roman" w:hAnsi="Times New Roman" w:cs="Times New Roman"/>
                <w:color w:val="000000"/>
                <w:szCs w:val="21"/>
                <w:highlight w:val="none"/>
              </w:rPr>
            </w:pPr>
          </w:p>
        </w:tc>
        <w:tc>
          <w:tcPr>
            <w:tcW w:w="1693" w:type="dxa"/>
            <w:vMerge w:val="continue"/>
            <w:tcBorders>
              <w:top w:val="single" w:color="auto" w:sz="4" w:space="0"/>
              <w:left w:val="nil"/>
              <w:bottom w:val="single" w:color="auto" w:sz="4" w:space="0"/>
              <w:right w:val="single" w:color="auto" w:sz="4" w:space="0"/>
            </w:tcBorders>
            <w:vAlign w:val="center"/>
          </w:tcPr>
          <w:p w14:paraId="6378C3C5">
            <w:pPr>
              <w:spacing w:line="360" w:lineRule="auto"/>
              <w:rPr>
                <w:rFonts w:ascii="Times New Roman" w:hAnsi="Times New Roman" w:cs="Times New Roman"/>
                <w:color w:val="000000"/>
                <w:szCs w:val="21"/>
                <w:highlight w:val="none"/>
              </w:rPr>
            </w:pPr>
          </w:p>
        </w:tc>
        <w:tc>
          <w:tcPr>
            <w:tcW w:w="1923" w:type="dxa"/>
            <w:tcBorders>
              <w:top w:val="single" w:color="000000" w:sz="4" w:space="0"/>
              <w:left w:val="single" w:color="auto" w:sz="4" w:space="0"/>
              <w:bottom w:val="single" w:color="000000" w:sz="4" w:space="0"/>
              <w:right w:val="single" w:color="000000" w:sz="4" w:space="0"/>
            </w:tcBorders>
            <w:vAlign w:val="center"/>
          </w:tcPr>
          <w:p w14:paraId="316F5A1D">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最高</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限价</w:t>
            </w:r>
          </w:p>
        </w:tc>
        <w:tc>
          <w:tcPr>
            <w:tcW w:w="5372" w:type="dxa"/>
            <w:gridSpan w:val="2"/>
            <w:tcBorders>
              <w:top w:val="single" w:color="000000" w:sz="4" w:space="0"/>
              <w:left w:val="nil"/>
              <w:bottom w:val="single" w:color="000000" w:sz="4" w:space="0"/>
              <w:right w:val="single" w:color="000000" w:sz="4" w:space="0"/>
            </w:tcBorders>
            <w:vAlign w:val="center"/>
          </w:tcPr>
          <w:p w14:paraId="1EC10E25">
            <w:pPr>
              <w:rPr>
                <w:rFonts w:ascii="Times New Roman" w:hAnsi="Times New Roman" w:cs="Times New Roman"/>
                <w:color w:val="000000"/>
                <w:szCs w:val="21"/>
                <w:highlight w:val="none"/>
              </w:rPr>
            </w:pPr>
            <w:r>
              <w:rPr>
                <w:rFonts w:ascii="Times New Roman" w:hAnsi="Times New Roman" w:cs="Times New Roman"/>
                <w:color w:val="000000"/>
                <w:szCs w:val="21"/>
                <w:highlight w:val="none"/>
              </w:rPr>
              <w:t>符合第二章“</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须知前附表”第20项规定</w:t>
            </w:r>
          </w:p>
        </w:tc>
      </w:tr>
      <w:tr w14:paraId="4A99FDD2">
        <w:tblPrEx>
          <w:tblCellMar>
            <w:top w:w="0" w:type="dxa"/>
            <w:left w:w="108" w:type="dxa"/>
            <w:bottom w:w="0" w:type="dxa"/>
            <w:right w:w="108" w:type="dxa"/>
          </w:tblCellMar>
        </w:tblPrEx>
        <w:trPr>
          <w:gridAfter w:val="1"/>
          <w:wAfter w:w="9" w:type="dxa"/>
          <w:trHeight w:val="506" w:hRule="atLeast"/>
          <w:jc w:val="center"/>
        </w:trPr>
        <w:tc>
          <w:tcPr>
            <w:tcW w:w="851" w:type="dxa"/>
            <w:vMerge w:val="continue"/>
            <w:tcBorders>
              <w:top w:val="single" w:color="auto" w:sz="4" w:space="0"/>
              <w:left w:val="single" w:color="auto" w:sz="4" w:space="0"/>
              <w:bottom w:val="single" w:color="auto" w:sz="4" w:space="0"/>
              <w:right w:val="single" w:color="000000" w:sz="4" w:space="0"/>
            </w:tcBorders>
            <w:vAlign w:val="center"/>
          </w:tcPr>
          <w:p w14:paraId="448AA2CD">
            <w:pPr>
              <w:spacing w:line="360" w:lineRule="auto"/>
              <w:rPr>
                <w:rFonts w:ascii="Times New Roman" w:hAnsi="Times New Roman" w:cs="Times New Roman"/>
                <w:color w:val="000000"/>
                <w:szCs w:val="21"/>
                <w:highlight w:val="none"/>
              </w:rPr>
            </w:pPr>
          </w:p>
        </w:tc>
        <w:tc>
          <w:tcPr>
            <w:tcW w:w="1693" w:type="dxa"/>
            <w:vMerge w:val="continue"/>
            <w:tcBorders>
              <w:top w:val="single" w:color="auto" w:sz="4" w:space="0"/>
              <w:left w:val="nil"/>
              <w:bottom w:val="single" w:color="auto" w:sz="4" w:space="0"/>
              <w:right w:val="single" w:color="auto" w:sz="4" w:space="0"/>
            </w:tcBorders>
            <w:vAlign w:val="center"/>
          </w:tcPr>
          <w:p w14:paraId="205BBA6C">
            <w:pPr>
              <w:spacing w:line="360" w:lineRule="auto"/>
              <w:rPr>
                <w:rFonts w:ascii="Times New Roman" w:hAnsi="Times New Roman" w:cs="Times New Roman"/>
                <w:color w:val="000000"/>
                <w:szCs w:val="21"/>
                <w:highlight w:val="none"/>
              </w:rPr>
            </w:pPr>
          </w:p>
        </w:tc>
        <w:tc>
          <w:tcPr>
            <w:tcW w:w="1923" w:type="dxa"/>
            <w:tcBorders>
              <w:top w:val="single" w:color="000000" w:sz="4" w:space="0"/>
              <w:left w:val="single" w:color="auto" w:sz="4" w:space="0"/>
              <w:bottom w:val="single" w:color="000000" w:sz="4" w:space="0"/>
              <w:right w:val="single" w:color="000000" w:sz="4" w:space="0"/>
            </w:tcBorders>
            <w:vAlign w:val="center"/>
          </w:tcPr>
          <w:p w14:paraId="04E541AD">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真实性</w:t>
            </w:r>
            <w:r>
              <w:rPr>
                <w:rFonts w:ascii="Times New Roman" w:hAnsi="Times New Roman" w:cs="Times New Roman"/>
                <w:color w:val="000000"/>
                <w:szCs w:val="21"/>
                <w:highlight w:val="none"/>
              </w:rPr>
              <w:t>要求</w:t>
            </w:r>
          </w:p>
        </w:tc>
        <w:tc>
          <w:tcPr>
            <w:tcW w:w="5372" w:type="dxa"/>
            <w:gridSpan w:val="2"/>
            <w:tcBorders>
              <w:top w:val="single" w:color="000000" w:sz="4" w:space="0"/>
              <w:left w:val="nil"/>
              <w:bottom w:val="single" w:color="000000" w:sz="4" w:space="0"/>
              <w:right w:val="single" w:color="000000" w:sz="4" w:space="0"/>
            </w:tcBorders>
            <w:vAlign w:val="center"/>
          </w:tcPr>
          <w:p w14:paraId="55E8DF53">
            <w:pPr>
              <w:rPr>
                <w:rFonts w:ascii="Times New Roman" w:hAnsi="Times New Roman" w:cs="Times New Roman"/>
                <w:color w:val="000000"/>
                <w:szCs w:val="21"/>
                <w:highlight w:val="none"/>
              </w:rPr>
            </w:pPr>
            <w:r>
              <w:rPr>
                <w:rFonts w:ascii="Times New Roman" w:hAnsi="Times New Roman" w:cs="Times New Roman"/>
                <w:color w:val="000000"/>
                <w:szCs w:val="21"/>
                <w:highlight w:val="none"/>
              </w:rPr>
              <w:t>符合第二章“</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须知前附表”第26项规定</w:t>
            </w:r>
          </w:p>
        </w:tc>
      </w:tr>
      <w:tr w14:paraId="45A82009">
        <w:tblPrEx>
          <w:tblCellMar>
            <w:top w:w="0" w:type="dxa"/>
            <w:left w:w="108" w:type="dxa"/>
            <w:bottom w:w="0" w:type="dxa"/>
            <w:right w:w="108" w:type="dxa"/>
          </w:tblCellMar>
        </w:tblPrEx>
        <w:trPr>
          <w:gridAfter w:val="1"/>
          <w:wAfter w:w="9" w:type="dxa"/>
          <w:trHeight w:val="506" w:hRule="atLeast"/>
          <w:jc w:val="center"/>
        </w:trPr>
        <w:tc>
          <w:tcPr>
            <w:tcW w:w="851" w:type="dxa"/>
            <w:vMerge w:val="continue"/>
            <w:tcBorders>
              <w:top w:val="single" w:color="auto" w:sz="4" w:space="0"/>
              <w:left w:val="single" w:color="auto" w:sz="4" w:space="0"/>
              <w:bottom w:val="single" w:color="auto" w:sz="4" w:space="0"/>
              <w:right w:val="single" w:color="000000" w:sz="4" w:space="0"/>
            </w:tcBorders>
            <w:vAlign w:val="center"/>
          </w:tcPr>
          <w:p w14:paraId="4A621594">
            <w:pPr>
              <w:spacing w:line="360" w:lineRule="auto"/>
              <w:rPr>
                <w:rFonts w:ascii="Times New Roman" w:hAnsi="Times New Roman" w:cs="Times New Roman"/>
                <w:color w:val="000000"/>
                <w:szCs w:val="21"/>
                <w:highlight w:val="none"/>
              </w:rPr>
            </w:pPr>
          </w:p>
        </w:tc>
        <w:tc>
          <w:tcPr>
            <w:tcW w:w="1693" w:type="dxa"/>
            <w:vMerge w:val="continue"/>
            <w:tcBorders>
              <w:top w:val="single" w:color="auto" w:sz="4" w:space="0"/>
              <w:left w:val="nil"/>
              <w:bottom w:val="single" w:color="auto" w:sz="4" w:space="0"/>
              <w:right w:val="single" w:color="auto" w:sz="4" w:space="0"/>
            </w:tcBorders>
            <w:vAlign w:val="center"/>
          </w:tcPr>
          <w:p w14:paraId="7BB1BD5B">
            <w:pPr>
              <w:spacing w:line="360" w:lineRule="auto"/>
              <w:rPr>
                <w:rFonts w:ascii="Times New Roman" w:hAnsi="Times New Roman" w:cs="Times New Roman"/>
                <w:color w:val="000000"/>
                <w:szCs w:val="21"/>
                <w:highlight w:val="none"/>
              </w:rPr>
            </w:pPr>
          </w:p>
        </w:tc>
        <w:tc>
          <w:tcPr>
            <w:tcW w:w="1923" w:type="dxa"/>
            <w:tcBorders>
              <w:top w:val="single" w:color="000000" w:sz="4" w:space="0"/>
              <w:left w:val="single" w:color="auto" w:sz="4" w:space="0"/>
              <w:bottom w:val="single" w:color="000000" w:sz="4" w:space="0"/>
              <w:right w:val="single" w:color="000000" w:sz="4" w:space="0"/>
            </w:tcBorders>
            <w:vAlign w:val="center"/>
          </w:tcPr>
          <w:p w14:paraId="56145D90">
            <w:pPr>
              <w:jc w:val="center"/>
              <w:rPr>
                <w:rFonts w:ascii="宋体" w:hAnsi="宋体"/>
                <w:color w:val="000000"/>
                <w:szCs w:val="21"/>
                <w:highlight w:val="none"/>
              </w:rPr>
            </w:pPr>
            <w:r>
              <w:rPr>
                <w:rFonts w:hint="eastAsia" w:ascii="宋体" w:hAnsi="宋体"/>
                <w:color w:val="000000"/>
                <w:szCs w:val="21"/>
                <w:highlight w:val="none"/>
              </w:rPr>
              <w:t>合同条款</w:t>
            </w:r>
          </w:p>
        </w:tc>
        <w:tc>
          <w:tcPr>
            <w:tcW w:w="5372" w:type="dxa"/>
            <w:gridSpan w:val="2"/>
            <w:tcBorders>
              <w:top w:val="single" w:color="000000" w:sz="4" w:space="0"/>
              <w:left w:val="nil"/>
              <w:bottom w:val="single" w:color="000000" w:sz="4" w:space="0"/>
              <w:right w:val="single" w:color="000000" w:sz="4" w:space="0"/>
            </w:tcBorders>
            <w:vAlign w:val="center"/>
          </w:tcPr>
          <w:p w14:paraId="7E2ACBB5">
            <w:pPr>
              <w:rPr>
                <w:rFonts w:ascii="宋体" w:hAnsi="宋体"/>
                <w:color w:val="000000"/>
                <w:szCs w:val="21"/>
                <w:highlight w:val="none"/>
              </w:rPr>
            </w:pPr>
            <w:r>
              <w:rPr>
                <w:rFonts w:hint="eastAsia" w:ascii="宋体" w:hAnsi="宋体"/>
                <w:color w:val="000000"/>
                <w:szCs w:val="21"/>
                <w:highlight w:val="none"/>
              </w:rPr>
              <w:t>接受第四章“合同条款及格式”所有内容</w:t>
            </w:r>
          </w:p>
        </w:tc>
      </w:tr>
      <w:tr w14:paraId="1531770D">
        <w:tblPrEx>
          <w:tblCellMar>
            <w:top w:w="0" w:type="dxa"/>
            <w:left w:w="108" w:type="dxa"/>
            <w:bottom w:w="0" w:type="dxa"/>
            <w:right w:w="108" w:type="dxa"/>
          </w:tblCellMar>
        </w:tblPrEx>
        <w:trPr>
          <w:gridAfter w:val="1"/>
          <w:wAfter w:w="9" w:type="dxa"/>
          <w:trHeight w:val="413" w:hRule="atLeast"/>
          <w:jc w:val="center"/>
        </w:trPr>
        <w:tc>
          <w:tcPr>
            <w:tcW w:w="851" w:type="dxa"/>
            <w:vMerge w:val="continue"/>
            <w:tcBorders>
              <w:top w:val="single" w:color="auto" w:sz="4" w:space="0"/>
              <w:left w:val="single" w:color="auto" w:sz="4" w:space="0"/>
              <w:bottom w:val="single" w:color="auto" w:sz="4" w:space="0"/>
              <w:right w:val="single" w:color="000000" w:sz="4" w:space="0"/>
            </w:tcBorders>
            <w:vAlign w:val="center"/>
          </w:tcPr>
          <w:p w14:paraId="36EFA019">
            <w:pPr>
              <w:spacing w:line="360" w:lineRule="auto"/>
              <w:rPr>
                <w:rFonts w:ascii="Times New Roman" w:hAnsi="Times New Roman" w:cs="Times New Roman"/>
                <w:color w:val="000000"/>
                <w:szCs w:val="21"/>
                <w:highlight w:val="none"/>
              </w:rPr>
            </w:pPr>
          </w:p>
        </w:tc>
        <w:tc>
          <w:tcPr>
            <w:tcW w:w="1693" w:type="dxa"/>
            <w:vMerge w:val="continue"/>
            <w:tcBorders>
              <w:top w:val="single" w:color="auto" w:sz="4" w:space="0"/>
              <w:left w:val="nil"/>
              <w:bottom w:val="single" w:color="auto" w:sz="4" w:space="0"/>
              <w:right w:val="single" w:color="auto" w:sz="4" w:space="0"/>
            </w:tcBorders>
            <w:vAlign w:val="center"/>
          </w:tcPr>
          <w:p w14:paraId="292EB357">
            <w:pPr>
              <w:spacing w:line="360" w:lineRule="auto"/>
              <w:rPr>
                <w:rFonts w:ascii="Times New Roman" w:hAnsi="Times New Roman" w:cs="Times New Roman"/>
                <w:color w:val="000000"/>
                <w:szCs w:val="21"/>
                <w:highlight w:val="none"/>
              </w:rPr>
            </w:pPr>
          </w:p>
        </w:tc>
        <w:tc>
          <w:tcPr>
            <w:tcW w:w="7295" w:type="dxa"/>
            <w:gridSpan w:val="3"/>
            <w:tcBorders>
              <w:top w:val="single" w:color="000000" w:sz="4" w:space="0"/>
              <w:left w:val="single" w:color="auto" w:sz="4" w:space="0"/>
              <w:bottom w:val="single" w:color="000000" w:sz="4" w:space="0"/>
              <w:right w:val="single" w:color="000000" w:sz="4" w:space="0"/>
            </w:tcBorders>
            <w:vAlign w:val="center"/>
          </w:tcPr>
          <w:p w14:paraId="4CA7760A">
            <w:pPr>
              <w:spacing w:line="360" w:lineRule="auto"/>
              <w:rPr>
                <w:rFonts w:ascii="Times New Roman" w:hAnsi="Times New Roman" w:cs="Times New Roman"/>
                <w:color w:val="000000"/>
                <w:szCs w:val="21"/>
                <w:highlight w:val="none"/>
              </w:rPr>
            </w:pPr>
            <w:r>
              <w:rPr>
                <w:rFonts w:ascii="Times New Roman" w:hAnsi="Times New Roman" w:cs="Times New Roman"/>
                <w:b/>
                <w:color w:val="000000"/>
                <w:szCs w:val="21"/>
                <w:highlight w:val="none"/>
              </w:rPr>
              <w:t>以上评审有一条不通过，则视为响应性评审标准不通过，不进入下一步评审，其</w:t>
            </w:r>
            <w:r>
              <w:rPr>
                <w:rFonts w:hint="eastAsia" w:ascii="Times New Roman" w:hAnsi="Times New Roman" w:cs="Times New Roman"/>
                <w:b/>
                <w:color w:val="000000"/>
                <w:szCs w:val="21"/>
                <w:highlight w:val="none"/>
              </w:rPr>
              <w:t>比选申请文件</w:t>
            </w:r>
            <w:r>
              <w:rPr>
                <w:rFonts w:ascii="Times New Roman" w:hAnsi="Times New Roman" w:cs="Times New Roman"/>
                <w:b/>
                <w:color w:val="000000"/>
                <w:szCs w:val="21"/>
                <w:highlight w:val="none"/>
              </w:rPr>
              <w:t>无效。</w:t>
            </w:r>
          </w:p>
        </w:tc>
      </w:tr>
      <w:tr w14:paraId="75BB7309">
        <w:tblPrEx>
          <w:tblCellMar>
            <w:top w:w="0" w:type="dxa"/>
            <w:left w:w="108" w:type="dxa"/>
            <w:bottom w:w="0" w:type="dxa"/>
            <w:right w:w="108" w:type="dxa"/>
          </w:tblCellMar>
        </w:tblPrEx>
        <w:trPr>
          <w:gridAfter w:val="1"/>
          <w:wAfter w:w="9" w:type="dxa"/>
          <w:trHeight w:val="413" w:hRule="atLeast"/>
          <w:jc w:val="center"/>
        </w:trPr>
        <w:tc>
          <w:tcPr>
            <w:tcW w:w="2544" w:type="dxa"/>
            <w:gridSpan w:val="2"/>
            <w:tcBorders>
              <w:top w:val="single" w:color="auto" w:sz="4" w:space="0"/>
              <w:left w:val="single" w:color="000000" w:sz="4" w:space="0"/>
              <w:bottom w:val="single" w:color="000000" w:sz="4" w:space="0"/>
              <w:right w:val="single" w:color="000000" w:sz="4" w:space="0"/>
            </w:tcBorders>
            <w:vAlign w:val="center"/>
          </w:tcPr>
          <w:p w14:paraId="710A475B">
            <w:pPr>
              <w:spacing w:line="440" w:lineRule="exact"/>
              <w:jc w:val="center"/>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2</w:t>
            </w:r>
          </w:p>
        </w:tc>
        <w:tc>
          <w:tcPr>
            <w:tcW w:w="7295" w:type="dxa"/>
            <w:gridSpan w:val="3"/>
            <w:tcBorders>
              <w:top w:val="single" w:color="000000" w:sz="4" w:space="0"/>
              <w:left w:val="nil"/>
              <w:bottom w:val="single" w:color="000000" w:sz="4" w:space="0"/>
              <w:right w:val="single" w:color="000000" w:sz="4" w:space="0"/>
            </w:tcBorders>
            <w:vAlign w:val="center"/>
          </w:tcPr>
          <w:p w14:paraId="16BE8275">
            <w:pPr>
              <w:spacing w:line="440" w:lineRule="exact"/>
              <w:jc w:val="center"/>
              <w:rPr>
                <w:rFonts w:ascii="Times New Roman" w:hAnsi="Times New Roman" w:cs="Times New Roman"/>
                <w:b/>
                <w:color w:val="000000"/>
                <w:szCs w:val="21"/>
                <w:highlight w:val="none"/>
              </w:rPr>
            </w:pPr>
            <w:r>
              <w:rPr>
                <w:rFonts w:ascii="Times New Roman" w:hAnsi="Times New Roman" w:cs="Times New Roman"/>
                <w:b/>
                <w:szCs w:val="21"/>
                <w:highlight w:val="none"/>
              </w:rPr>
              <w:t>初步评审</w:t>
            </w:r>
          </w:p>
        </w:tc>
      </w:tr>
      <w:tr w14:paraId="1315DF6F">
        <w:tblPrEx>
          <w:tblCellMar>
            <w:top w:w="0" w:type="dxa"/>
            <w:left w:w="108" w:type="dxa"/>
            <w:bottom w:w="0" w:type="dxa"/>
            <w:right w:w="108" w:type="dxa"/>
          </w:tblCellMar>
        </w:tblPrEx>
        <w:trPr>
          <w:gridAfter w:val="1"/>
          <w:wAfter w:w="9" w:type="dxa"/>
          <w:trHeight w:val="413" w:hRule="atLeast"/>
          <w:jc w:val="center"/>
        </w:trPr>
        <w:tc>
          <w:tcPr>
            <w:tcW w:w="851" w:type="dxa"/>
            <w:tcBorders>
              <w:top w:val="single" w:color="000000" w:sz="4" w:space="0"/>
              <w:left w:val="single" w:color="000000" w:sz="4" w:space="0"/>
              <w:bottom w:val="single" w:color="000000" w:sz="4" w:space="0"/>
              <w:right w:val="single" w:color="000000" w:sz="4" w:space="0"/>
            </w:tcBorders>
            <w:vAlign w:val="center"/>
          </w:tcPr>
          <w:p w14:paraId="5EF587EB">
            <w:pPr>
              <w:spacing w:line="440" w:lineRule="exact"/>
              <w:jc w:val="center"/>
              <w:rPr>
                <w:rFonts w:ascii="Times New Roman" w:hAnsi="Times New Roman" w:cs="Times New Roman"/>
                <w:b/>
                <w:color w:val="000000"/>
                <w:szCs w:val="21"/>
                <w:highlight w:val="none"/>
              </w:rPr>
            </w:pPr>
            <w:r>
              <w:rPr>
                <w:rFonts w:ascii="Times New Roman" w:hAnsi="Times New Roman" w:cs="Times New Roman"/>
                <w:highlight w:val="none"/>
              </w:rPr>
              <w:t>2.1</w:t>
            </w:r>
          </w:p>
        </w:tc>
        <w:tc>
          <w:tcPr>
            <w:tcW w:w="1693" w:type="dxa"/>
            <w:tcBorders>
              <w:top w:val="single" w:color="000000" w:sz="4" w:space="0"/>
              <w:left w:val="single" w:color="000000" w:sz="4" w:space="0"/>
              <w:bottom w:val="single" w:color="000000" w:sz="4" w:space="0"/>
              <w:right w:val="single" w:color="000000" w:sz="4" w:space="0"/>
            </w:tcBorders>
            <w:vAlign w:val="center"/>
          </w:tcPr>
          <w:p w14:paraId="5CFF2C53">
            <w:pPr>
              <w:jc w:val="center"/>
              <w:rPr>
                <w:rFonts w:ascii="Times New Roman" w:hAnsi="Times New Roman" w:cs="Times New Roman"/>
                <w:b/>
                <w:color w:val="000000"/>
                <w:szCs w:val="21"/>
                <w:highlight w:val="none"/>
              </w:rPr>
            </w:pPr>
            <w:r>
              <w:rPr>
                <w:rFonts w:ascii="Times New Roman" w:hAnsi="Times New Roman" w:cs="Times New Roman"/>
                <w:szCs w:val="21"/>
                <w:highlight w:val="none"/>
              </w:rPr>
              <w:t>初步评审标准</w:t>
            </w:r>
          </w:p>
        </w:tc>
        <w:tc>
          <w:tcPr>
            <w:tcW w:w="7295" w:type="dxa"/>
            <w:gridSpan w:val="3"/>
            <w:tcBorders>
              <w:top w:val="single" w:color="000000" w:sz="4" w:space="0"/>
              <w:left w:val="nil"/>
              <w:bottom w:val="single" w:color="000000" w:sz="4" w:space="0"/>
              <w:right w:val="single" w:color="000000" w:sz="4" w:space="0"/>
            </w:tcBorders>
            <w:vAlign w:val="center"/>
          </w:tcPr>
          <w:p w14:paraId="669376B4">
            <w:pPr>
              <w:spacing w:line="360" w:lineRule="auto"/>
              <w:jc w:val="left"/>
              <w:rPr>
                <w:rFonts w:ascii="Times New Roman" w:hAnsi="Times New Roman" w:cs="Times New Roman"/>
                <w:szCs w:val="21"/>
                <w:highlight w:val="none"/>
              </w:rPr>
            </w:pPr>
            <w:r>
              <w:rPr>
                <w:rFonts w:ascii="Times New Roman" w:hAnsi="Times New Roman" w:cs="Times New Roman"/>
                <w:color w:val="000000"/>
                <w:highlight w:val="none"/>
              </w:rPr>
              <w:t>1、</w:t>
            </w:r>
            <w:r>
              <w:rPr>
                <w:rFonts w:ascii="Times New Roman" w:hAnsi="Times New Roman" w:cs="Times New Roman"/>
                <w:szCs w:val="21"/>
                <w:highlight w:val="none"/>
              </w:rPr>
              <w:t>通过形式评审、资格评审、响应性评审的</w:t>
            </w:r>
            <w:r>
              <w:rPr>
                <w:rFonts w:hint="eastAsia" w:ascii="Times New Roman" w:hAnsi="Times New Roman" w:cs="Times New Roman"/>
                <w:szCs w:val="21"/>
                <w:highlight w:val="none"/>
              </w:rPr>
              <w:t>比选申请文件通过</w:t>
            </w:r>
            <w:r>
              <w:rPr>
                <w:rFonts w:ascii="Times New Roman" w:hAnsi="Times New Roman" w:cs="Times New Roman"/>
                <w:szCs w:val="21"/>
                <w:highlight w:val="none"/>
              </w:rPr>
              <w:t>初步评审。</w:t>
            </w:r>
          </w:p>
          <w:p w14:paraId="6D9C73BC">
            <w:pPr>
              <w:spacing w:line="360" w:lineRule="auto"/>
              <w:jc w:val="left"/>
              <w:rPr>
                <w:rFonts w:ascii="Times New Roman" w:hAnsi="Times New Roman" w:cs="Times New Roman"/>
                <w:b/>
                <w:color w:val="000000"/>
                <w:szCs w:val="21"/>
                <w:highlight w:val="none"/>
              </w:rPr>
            </w:pPr>
            <w:r>
              <w:rPr>
                <w:rFonts w:ascii="Times New Roman" w:hAnsi="Times New Roman" w:cs="Times New Roman"/>
                <w:bCs/>
                <w:szCs w:val="21"/>
                <w:highlight w:val="none"/>
              </w:rPr>
              <w:t>2、当</w:t>
            </w:r>
            <w:r>
              <w:rPr>
                <w:rFonts w:hint="eastAsia" w:ascii="Times New Roman" w:hAnsi="Times New Roman" w:cs="Times New Roman"/>
                <w:bCs/>
                <w:szCs w:val="21"/>
                <w:highlight w:val="none"/>
              </w:rPr>
              <w:t>比选申请人比选申请</w:t>
            </w:r>
            <w:r>
              <w:rPr>
                <w:rFonts w:ascii="Times New Roman" w:hAnsi="Times New Roman" w:cs="Times New Roman"/>
                <w:bCs/>
                <w:szCs w:val="21"/>
                <w:highlight w:val="none"/>
              </w:rPr>
              <w:t>函中</w:t>
            </w:r>
            <w:r>
              <w:rPr>
                <w:rFonts w:ascii="Times New Roman" w:hAnsi="Times New Roman" w:cs="Times New Roman"/>
                <w:szCs w:val="21"/>
                <w:highlight w:val="none"/>
              </w:rPr>
              <w:t>填报的</w:t>
            </w:r>
            <w:r>
              <w:rPr>
                <w:rFonts w:hint="eastAsia" w:ascii="Times New Roman" w:hAnsi="Times New Roman" w:cs="Times New Roman"/>
                <w:szCs w:val="21"/>
                <w:highlight w:val="none"/>
              </w:rPr>
              <w:t>费率超过比选</w:t>
            </w:r>
            <w:r>
              <w:rPr>
                <w:rFonts w:ascii="Times New Roman" w:hAnsi="Times New Roman" w:cs="Times New Roman"/>
                <w:szCs w:val="21"/>
                <w:highlight w:val="none"/>
              </w:rPr>
              <w:t>文件中公布的最高</w:t>
            </w:r>
            <w:r>
              <w:rPr>
                <w:rFonts w:hint="eastAsia" w:ascii="Times New Roman" w:hAnsi="Times New Roman" w:cs="Times New Roman"/>
                <w:szCs w:val="21"/>
                <w:highlight w:val="none"/>
              </w:rPr>
              <w:t>比选申请</w:t>
            </w:r>
            <w:r>
              <w:rPr>
                <w:rFonts w:ascii="Times New Roman" w:hAnsi="Times New Roman" w:cs="Times New Roman"/>
                <w:szCs w:val="21"/>
                <w:highlight w:val="none"/>
              </w:rPr>
              <w:t>限价的</w:t>
            </w:r>
            <w:r>
              <w:rPr>
                <w:rFonts w:hint="eastAsia" w:ascii="Times New Roman" w:hAnsi="Times New Roman" w:cs="Times New Roman"/>
                <w:szCs w:val="21"/>
                <w:highlight w:val="none"/>
                <w:lang w:val="en-US" w:eastAsia="zh-CN"/>
              </w:rPr>
              <w:t>取费</w:t>
            </w:r>
            <w:r>
              <w:rPr>
                <w:rFonts w:hint="eastAsia" w:ascii="Times New Roman" w:hAnsi="Times New Roman" w:cs="Times New Roman"/>
                <w:szCs w:val="21"/>
                <w:highlight w:val="none"/>
              </w:rPr>
              <w:t>费率</w:t>
            </w:r>
            <w:r>
              <w:rPr>
                <w:rFonts w:ascii="Times New Roman" w:hAnsi="Times New Roman" w:cs="Times New Roman"/>
                <w:szCs w:val="21"/>
                <w:highlight w:val="none"/>
              </w:rPr>
              <w:t>，</w:t>
            </w:r>
            <w:r>
              <w:rPr>
                <w:rFonts w:hint="eastAsia" w:ascii="Times New Roman" w:hAnsi="Times New Roman" w:cs="Times New Roman"/>
                <w:b/>
                <w:szCs w:val="21"/>
                <w:highlight w:val="none"/>
                <w:lang w:eastAsia="zh-CN"/>
              </w:rPr>
              <w:t>评审</w:t>
            </w:r>
            <w:r>
              <w:rPr>
                <w:rFonts w:ascii="Times New Roman" w:hAnsi="Times New Roman" w:cs="Times New Roman"/>
                <w:b/>
                <w:szCs w:val="21"/>
                <w:highlight w:val="none"/>
              </w:rPr>
              <w:t>委员会应当否决其</w:t>
            </w:r>
            <w:r>
              <w:rPr>
                <w:rFonts w:hint="eastAsia" w:ascii="Times New Roman" w:hAnsi="Times New Roman" w:cs="Times New Roman"/>
                <w:b/>
                <w:szCs w:val="21"/>
                <w:highlight w:val="none"/>
              </w:rPr>
              <w:t>比选申请</w:t>
            </w:r>
            <w:r>
              <w:rPr>
                <w:rFonts w:ascii="Times New Roman" w:hAnsi="Times New Roman" w:cs="Times New Roman"/>
                <w:b/>
                <w:szCs w:val="21"/>
                <w:highlight w:val="none"/>
              </w:rPr>
              <w:t>。</w:t>
            </w:r>
          </w:p>
        </w:tc>
      </w:tr>
      <w:tr w14:paraId="534AA561">
        <w:tblPrEx>
          <w:tblCellMar>
            <w:top w:w="0" w:type="dxa"/>
            <w:left w:w="108" w:type="dxa"/>
            <w:bottom w:w="0" w:type="dxa"/>
            <w:right w:w="108" w:type="dxa"/>
          </w:tblCellMar>
        </w:tblPrEx>
        <w:trPr>
          <w:gridAfter w:val="1"/>
          <w:wAfter w:w="9" w:type="dxa"/>
          <w:trHeight w:val="416" w:hRule="atLeast"/>
          <w:jc w:val="center"/>
        </w:trPr>
        <w:tc>
          <w:tcPr>
            <w:tcW w:w="2544" w:type="dxa"/>
            <w:gridSpan w:val="2"/>
            <w:tcBorders>
              <w:left w:val="single" w:color="000000" w:sz="4" w:space="0"/>
              <w:bottom w:val="single" w:color="000000" w:sz="4" w:space="0"/>
              <w:right w:val="single" w:color="000000" w:sz="4" w:space="0"/>
            </w:tcBorders>
            <w:vAlign w:val="center"/>
          </w:tcPr>
          <w:p w14:paraId="712A5BE4">
            <w:pPr>
              <w:spacing w:line="360" w:lineRule="auto"/>
              <w:jc w:val="center"/>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3</w:t>
            </w:r>
          </w:p>
        </w:tc>
        <w:tc>
          <w:tcPr>
            <w:tcW w:w="7295" w:type="dxa"/>
            <w:gridSpan w:val="3"/>
            <w:tcBorders>
              <w:left w:val="nil"/>
              <w:bottom w:val="single" w:color="000000" w:sz="4" w:space="0"/>
              <w:right w:val="single" w:color="000000" w:sz="4" w:space="0"/>
            </w:tcBorders>
            <w:vAlign w:val="center"/>
          </w:tcPr>
          <w:p w14:paraId="38233BE2">
            <w:pPr>
              <w:spacing w:line="360" w:lineRule="auto"/>
              <w:jc w:val="center"/>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分值构成与综合评分标准</w:t>
            </w:r>
          </w:p>
        </w:tc>
      </w:tr>
      <w:tr w14:paraId="0CEC06DC">
        <w:tblPrEx>
          <w:tblCellMar>
            <w:top w:w="0" w:type="dxa"/>
            <w:left w:w="108" w:type="dxa"/>
            <w:bottom w:w="0" w:type="dxa"/>
            <w:right w:w="108" w:type="dxa"/>
          </w:tblCellMar>
        </w:tblPrEx>
        <w:trPr>
          <w:gridAfter w:val="1"/>
          <w:wAfter w:w="9" w:type="dxa"/>
          <w:trHeight w:val="90" w:hRule="atLeast"/>
          <w:jc w:val="center"/>
        </w:trPr>
        <w:tc>
          <w:tcPr>
            <w:tcW w:w="851" w:type="dxa"/>
            <w:tcBorders>
              <w:top w:val="single" w:color="000000" w:sz="4" w:space="0"/>
              <w:left w:val="single" w:color="000000" w:sz="4" w:space="0"/>
              <w:bottom w:val="single" w:color="000000" w:sz="4" w:space="0"/>
              <w:right w:val="single" w:color="000000" w:sz="4" w:space="0"/>
            </w:tcBorders>
            <w:vAlign w:val="center"/>
          </w:tcPr>
          <w:p w14:paraId="06F97A1B">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3.1</w:t>
            </w:r>
          </w:p>
        </w:tc>
        <w:tc>
          <w:tcPr>
            <w:tcW w:w="1693" w:type="dxa"/>
            <w:tcBorders>
              <w:top w:val="single" w:color="000000" w:sz="4" w:space="0"/>
              <w:left w:val="single" w:color="000000" w:sz="4" w:space="0"/>
              <w:bottom w:val="single" w:color="000000" w:sz="4" w:space="0"/>
              <w:right w:val="single" w:color="000000" w:sz="4" w:space="0"/>
            </w:tcBorders>
            <w:vAlign w:val="center"/>
          </w:tcPr>
          <w:p w14:paraId="5107E445">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分值构成</w:t>
            </w:r>
          </w:p>
          <w:p w14:paraId="118A414F">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(总分100分)</w:t>
            </w:r>
          </w:p>
        </w:tc>
        <w:tc>
          <w:tcPr>
            <w:tcW w:w="7295" w:type="dxa"/>
            <w:gridSpan w:val="3"/>
            <w:tcBorders>
              <w:top w:val="single" w:color="000000" w:sz="4" w:space="0"/>
              <w:left w:val="nil"/>
              <w:bottom w:val="single" w:color="000000" w:sz="4" w:space="0"/>
              <w:right w:val="single" w:color="000000" w:sz="4" w:space="0"/>
            </w:tcBorders>
            <w:vAlign w:val="center"/>
          </w:tcPr>
          <w:p w14:paraId="69603E34">
            <w:pPr>
              <w:spacing w:line="480" w:lineRule="exact"/>
              <w:rPr>
                <w:rFonts w:hint="eastAsia" w:ascii="宋体" w:hAnsi="宋体" w:cs="宋体"/>
                <w:bCs/>
                <w:color w:val="auto"/>
                <w:szCs w:val="21"/>
                <w:highlight w:val="none"/>
                <w:lang w:val="en-US" w:eastAsia="zh-CN"/>
              </w:rPr>
            </w:pPr>
            <w:r>
              <w:rPr>
                <w:rFonts w:hint="eastAsia" w:ascii="宋体" w:hAnsi="宋体" w:cs="宋体"/>
                <w:bCs/>
                <w:color w:val="auto"/>
                <w:szCs w:val="21"/>
                <w:highlight w:val="none"/>
                <w:lang w:val="en-US" w:eastAsia="zh-CN"/>
              </w:rPr>
              <w:t>商务部分：30分</w:t>
            </w:r>
          </w:p>
          <w:p w14:paraId="2FA05CF0">
            <w:pPr>
              <w:spacing w:line="480" w:lineRule="exact"/>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技术部分：20分</w:t>
            </w:r>
          </w:p>
          <w:p w14:paraId="112A8D9F">
            <w:pPr>
              <w:spacing w:line="360" w:lineRule="auto"/>
              <w:rPr>
                <w:rFonts w:ascii="Times New Roman" w:hAnsi="Times New Roman" w:cs="Times New Roman"/>
                <w:color w:val="000000"/>
                <w:szCs w:val="21"/>
                <w:highlight w:val="none"/>
              </w:rPr>
            </w:pPr>
            <w:r>
              <w:rPr>
                <w:rFonts w:hint="eastAsia" w:ascii="宋体" w:hAnsi="宋体" w:cs="宋体"/>
                <w:bCs/>
                <w:color w:val="auto"/>
                <w:szCs w:val="21"/>
                <w:highlight w:val="none"/>
                <w:lang w:val="en-US" w:eastAsia="zh-CN"/>
              </w:rPr>
              <w:t>比选申请</w:t>
            </w:r>
            <w:r>
              <w:rPr>
                <w:rFonts w:hint="eastAsia" w:ascii="宋体" w:hAnsi="宋体" w:eastAsia="宋体" w:cs="宋体"/>
                <w:bCs/>
                <w:color w:val="auto"/>
                <w:szCs w:val="21"/>
                <w:highlight w:val="none"/>
                <w:lang w:val="en-US" w:eastAsia="zh-CN"/>
              </w:rPr>
              <w:t>报价：50分</w:t>
            </w:r>
          </w:p>
        </w:tc>
      </w:tr>
      <w:tr w14:paraId="6A1F5E70">
        <w:tblPrEx>
          <w:tblCellMar>
            <w:top w:w="0" w:type="dxa"/>
            <w:left w:w="108" w:type="dxa"/>
            <w:bottom w:w="0" w:type="dxa"/>
            <w:right w:w="108" w:type="dxa"/>
          </w:tblCellMar>
        </w:tblPrEx>
        <w:trPr>
          <w:gridAfter w:val="1"/>
          <w:wAfter w:w="9" w:type="dxa"/>
          <w:trHeight w:val="613" w:hRule="atLeast"/>
          <w:jc w:val="center"/>
        </w:trPr>
        <w:tc>
          <w:tcPr>
            <w:tcW w:w="2544" w:type="dxa"/>
            <w:gridSpan w:val="2"/>
            <w:tcBorders>
              <w:top w:val="single" w:color="000000" w:sz="4" w:space="0"/>
              <w:left w:val="single" w:color="000000" w:sz="4" w:space="0"/>
              <w:bottom w:val="single" w:color="000000" w:sz="4" w:space="0"/>
              <w:right w:val="single" w:color="000000" w:sz="4" w:space="0"/>
            </w:tcBorders>
            <w:vAlign w:val="center"/>
          </w:tcPr>
          <w:p w14:paraId="3EE84BC8">
            <w:pPr>
              <w:jc w:val="center"/>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条款号</w:t>
            </w:r>
          </w:p>
        </w:tc>
        <w:tc>
          <w:tcPr>
            <w:tcW w:w="1923" w:type="dxa"/>
            <w:tcBorders>
              <w:top w:val="single" w:color="auto" w:sz="4" w:space="0"/>
              <w:left w:val="nil"/>
              <w:bottom w:val="single" w:color="000000" w:sz="4" w:space="0"/>
              <w:right w:val="single" w:color="000000" w:sz="4" w:space="0"/>
            </w:tcBorders>
            <w:vAlign w:val="center"/>
          </w:tcPr>
          <w:p w14:paraId="0B4AF653">
            <w:pPr>
              <w:jc w:val="center"/>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评分因素</w:t>
            </w:r>
          </w:p>
        </w:tc>
        <w:tc>
          <w:tcPr>
            <w:tcW w:w="5372" w:type="dxa"/>
            <w:gridSpan w:val="2"/>
            <w:tcBorders>
              <w:top w:val="single" w:color="000000" w:sz="4" w:space="0"/>
              <w:left w:val="nil"/>
              <w:bottom w:val="single" w:color="000000" w:sz="4" w:space="0"/>
              <w:right w:val="single" w:color="000000" w:sz="4" w:space="0"/>
            </w:tcBorders>
            <w:vAlign w:val="center"/>
          </w:tcPr>
          <w:p w14:paraId="6A1DA327">
            <w:pPr>
              <w:jc w:val="center"/>
              <w:rPr>
                <w:rFonts w:ascii="Times New Roman" w:hAnsi="Times New Roman" w:cs="Times New Roman"/>
                <w:b/>
                <w:color w:val="000000"/>
                <w:szCs w:val="21"/>
                <w:highlight w:val="none"/>
              </w:rPr>
            </w:pPr>
            <w:r>
              <w:rPr>
                <w:rFonts w:ascii="Times New Roman" w:hAnsi="Times New Roman" w:cs="Times New Roman"/>
                <w:b/>
                <w:color w:val="000000"/>
                <w:szCs w:val="21"/>
                <w:highlight w:val="none"/>
              </w:rPr>
              <w:t>综合评分标准</w:t>
            </w:r>
          </w:p>
        </w:tc>
      </w:tr>
      <w:tr w14:paraId="1BA4E4CD">
        <w:tblPrEx>
          <w:tblCellMar>
            <w:top w:w="0" w:type="dxa"/>
            <w:left w:w="108" w:type="dxa"/>
            <w:bottom w:w="0" w:type="dxa"/>
            <w:right w:w="108" w:type="dxa"/>
          </w:tblCellMar>
        </w:tblPrEx>
        <w:trPr>
          <w:gridAfter w:val="1"/>
          <w:wAfter w:w="9" w:type="dxa"/>
          <w:trHeight w:val="661" w:hRule="atLeast"/>
          <w:jc w:val="center"/>
        </w:trPr>
        <w:tc>
          <w:tcPr>
            <w:tcW w:w="851" w:type="dxa"/>
            <w:vMerge w:val="restart"/>
            <w:tcBorders>
              <w:left w:val="single" w:color="auto" w:sz="4" w:space="0"/>
              <w:bottom w:val="single" w:color="auto" w:sz="4" w:space="0"/>
              <w:right w:val="single" w:color="auto" w:sz="4" w:space="0"/>
            </w:tcBorders>
            <w:vAlign w:val="center"/>
          </w:tcPr>
          <w:p w14:paraId="4214414A">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3.1.1</w:t>
            </w:r>
          </w:p>
        </w:tc>
        <w:tc>
          <w:tcPr>
            <w:tcW w:w="1693" w:type="dxa"/>
            <w:vMerge w:val="restart"/>
            <w:tcBorders>
              <w:left w:val="single" w:color="auto" w:sz="4" w:space="0"/>
              <w:bottom w:val="single" w:color="auto" w:sz="4" w:space="0"/>
              <w:right w:val="single" w:color="000000" w:sz="4" w:space="0"/>
            </w:tcBorders>
            <w:vAlign w:val="center"/>
          </w:tcPr>
          <w:p w14:paraId="59868A2D">
            <w:pPr>
              <w:pStyle w:val="21"/>
              <w:jc w:val="center"/>
              <w:rPr>
                <w:highlight w:val="none"/>
              </w:rPr>
            </w:pPr>
            <w:r>
              <w:rPr>
                <w:rFonts w:hint="eastAsia" w:ascii="宋体" w:hAnsi="宋体" w:cs="宋体"/>
                <w:color w:val="auto"/>
                <w:kern w:val="2"/>
                <w:sz w:val="21"/>
                <w:szCs w:val="21"/>
                <w:highlight w:val="none"/>
                <w:lang w:val="en-US" w:eastAsia="zh-CN"/>
              </w:rPr>
              <w:t>商务部分</w:t>
            </w:r>
            <w:r>
              <w:rPr>
                <w:rFonts w:hint="eastAsia" w:ascii="宋体" w:hAnsi="宋体" w:cs="宋体"/>
                <w:color w:val="auto"/>
                <w:kern w:val="2"/>
                <w:sz w:val="21"/>
                <w:szCs w:val="21"/>
                <w:highlight w:val="none"/>
              </w:rPr>
              <w:t>（</w:t>
            </w:r>
            <w:r>
              <w:rPr>
                <w:rFonts w:hint="eastAsia" w:ascii="宋体" w:hAnsi="宋体" w:cs="宋体"/>
                <w:color w:val="auto"/>
                <w:kern w:val="2"/>
                <w:sz w:val="21"/>
                <w:szCs w:val="21"/>
                <w:highlight w:val="none"/>
                <w:lang w:val="en-US" w:eastAsia="zh-CN"/>
              </w:rPr>
              <w:t>3</w:t>
            </w:r>
            <w:r>
              <w:rPr>
                <w:rFonts w:hint="eastAsia" w:ascii="宋体" w:hAnsi="宋体" w:cs="宋体"/>
                <w:color w:val="auto"/>
                <w:kern w:val="2"/>
                <w:sz w:val="21"/>
                <w:szCs w:val="21"/>
                <w:highlight w:val="none"/>
              </w:rPr>
              <w:t>0分）</w:t>
            </w:r>
          </w:p>
        </w:tc>
        <w:tc>
          <w:tcPr>
            <w:tcW w:w="1923" w:type="dxa"/>
            <w:tcBorders>
              <w:top w:val="single" w:color="000000" w:sz="4" w:space="0"/>
              <w:left w:val="nil"/>
              <w:bottom w:val="single" w:color="auto" w:sz="4" w:space="0"/>
              <w:right w:val="single" w:color="000000" w:sz="4" w:space="0"/>
            </w:tcBorders>
            <w:vAlign w:val="center"/>
          </w:tcPr>
          <w:p w14:paraId="6F79D17C">
            <w:pPr>
              <w:spacing w:line="360" w:lineRule="auto"/>
              <w:jc w:val="center"/>
              <w:rPr>
                <w:rFonts w:ascii="Times New Roman" w:hAnsi="Times New Roman" w:cs="Times New Roman"/>
                <w:color w:val="000000"/>
                <w:szCs w:val="21"/>
                <w:highlight w:val="none"/>
              </w:rPr>
            </w:pPr>
            <w:r>
              <w:rPr>
                <w:rFonts w:hint="eastAsia" w:ascii="宋体" w:hAnsi="宋体" w:cs="宋体"/>
                <w:color w:val="auto"/>
                <w:szCs w:val="21"/>
                <w:highlight w:val="none"/>
                <w:lang w:val="en-US" w:eastAsia="zh-CN"/>
              </w:rPr>
              <w:t>业绩情况</w:t>
            </w:r>
            <w:r>
              <w:rPr>
                <w:rFonts w:ascii="Times New Roman" w:hAnsi="Times New Roman" w:cs="Times New Roman"/>
                <w:szCs w:val="21"/>
                <w:highlight w:val="none"/>
              </w:rPr>
              <w:t>（</w:t>
            </w:r>
            <w:r>
              <w:rPr>
                <w:rFonts w:hint="eastAsia" w:ascii="Times New Roman" w:hAnsi="Times New Roman" w:cs="Times New Roman"/>
                <w:szCs w:val="21"/>
                <w:highlight w:val="none"/>
                <w:lang w:val="en-US" w:eastAsia="zh-CN"/>
              </w:rPr>
              <w:t>20</w:t>
            </w:r>
            <w:r>
              <w:rPr>
                <w:rFonts w:ascii="Times New Roman" w:hAnsi="Times New Roman" w:cs="Times New Roman"/>
                <w:szCs w:val="21"/>
                <w:highlight w:val="none"/>
              </w:rPr>
              <w:t>分）</w:t>
            </w:r>
          </w:p>
        </w:tc>
        <w:tc>
          <w:tcPr>
            <w:tcW w:w="5372" w:type="dxa"/>
            <w:gridSpan w:val="2"/>
            <w:tcBorders>
              <w:top w:val="single" w:color="000000" w:sz="4" w:space="0"/>
              <w:left w:val="nil"/>
              <w:bottom w:val="single" w:color="auto" w:sz="4" w:space="0"/>
              <w:right w:val="single" w:color="000000" w:sz="4" w:space="0"/>
            </w:tcBorders>
            <w:vAlign w:val="center"/>
          </w:tcPr>
          <w:p w14:paraId="365F6673">
            <w:pPr>
              <w:numPr>
                <w:ilvl w:val="0"/>
                <w:numId w:val="0"/>
              </w:numPr>
              <w:spacing w:line="360" w:lineRule="auto"/>
              <w:ind w:firstLine="0" w:firstLineChars="0"/>
              <w:rPr>
                <w:rFonts w:hint="eastAsia" w:ascii="Calibri" w:hAnsi="Calibri" w:eastAsia="宋体" w:cs="Times New Roman"/>
                <w:color w:val="auto"/>
                <w:sz w:val="21"/>
                <w:szCs w:val="24"/>
                <w:highlight w:val="none"/>
                <w:lang w:val="en-US" w:eastAsia="zh-CN"/>
              </w:rPr>
            </w:pPr>
            <w:r>
              <w:rPr>
                <w:rFonts w:hint="eastAsia" w:ascii="Calibri" w:hAnsi="Calibri" w:eastAsia="宋体" w:cs="Times New Roman"/>
                <w:color w:val="auto"/>
                <w:sz w:val="21"/>
                <w:szCs w:val="24"/>
                <w:highlight w:val="none"/>
              </w:rPr>
              <w:t>满足资格审查</w:t>
            </w:r>
            <w:r>
              <w:rPr>
                <w:rFonts w:hint="eastAsia" w:ascii="Calibri" w:hAnsi="Calibri" w:eastAsia="宋体" w:cs="Times New Roman"/>
                <w:color w:val="auto"/>
                <w:sz w:val="21"/>
                <w:szCs w:val="24"/>
                <w:highlight w:val="none"/>
                <w:lang w:val="en-US" w:eastAsia="zh-CN"/>
              </w:rPr>
              <w:t>业绩得12分；</w:t>
            </w:r>
          </w:p>
          <w:p w14:paraId="622B875F">
            <w:pPr>
              <w:spacing w:line="360" w:lineRule="auto"/>
              <w:jc w:val="left"/>
              <w:rPr>
                <w:rFonts w:ascii="Times New Roman" w:hAnsi="Times New Roman" w:cs="Times New Roman"/>
                <w:color w:val="000000"/>
                <w:szCs w:val="21"/>
                <w:highlight w:val="none"/>
              </w:rPr>
            </w:pPr>
            <w:r>
              <w:rPr>
                <w:rFonts w:hint="eastAsia" w:ascii="Calibri" w:hAnsi="Calibri" w:eastAsia="宋体" w:cs="Times New Roman"/>
                <w:color w:val="auto"/>
                <w:sz w:val="21"/>
                <w:szCs w:val="24"/>
                <w:highlight w:val="none"/>
                <w:lang w:val="en-US" w:eastAsia="zh-CN"/>
              </w:rPr>
              <w:t>近三年（202</w:t>
            </w:r>
            <w:r>
              <w:rPr>
                <w:rFonts w:hint="eastAsia" w:cs="Times New Roman"/>
                <w:color w:val="auto"/>
                <w:sz w:val="21"/>
                <w:szCs w:val="24"/>
                <w:highlight w:val="none"/>
                <w:lang w:val="en-US" w:eastAsia="zh-CN"/>
              </w:rPr>
              <w:t>3</w:t>
            </w:r>
            <w:r>
              <w:rPr>
                <w:rFonts w:hint="eastAsia" w:ascii="Calibri" w:hAnsi="Calibri" w:eastAsia="宋体" w:cs="Times New Roman"/>
                <w:color w:val="auto"/>
                <w:sz w:val="21"/>
                <w:szCs w:val="24"/>
                <w:highlight w:val="none"/>
                <w:lang w:val="en-US" w:eastAsia="zh-CN"/>
              </w:rPr>
              <w:t>年1月1日起至</w:t>
            </w:r>
            <w:r>
              <w:rPr>
                <w:rFonts w:hint="eastAsia" w:cs="Times New Roman"/>
                <w:color w:val="auto"/>
                <w:sz w:val="21"/>
                <w:szCs w:val="24"/>
                <w:highlight w:val="none"/>
                <w:lang w:val="en-US" w:eastAsia="zh-CN"/>
              </w:rPr>
              <w:t>比选申请</w:t>
            </w:r>
            <w:r>
              <w:rPr>
                <w:rFonts w:hint="eastAsia" w:ascii="Calibri" w:hAnsi="Calibri" w:eastAsia="宋体" w:cs="Times New Roman"/>
                <w:color w:val="auto"/>
                <w:sz w:val="21"/>
                <w:szCs w:val="24"/>
                <w:highlight w:val="none"/>
                <w:lang w:val="en-US" w:eastAsia="zh-CN"/>
              </w:rPr>
              <w:t>截止日，以合同签订时间为准）每增加1个</w:t>
            </w:r>
            <w:r>
              <w:rPr>
                <w:rFonts w:hint="eastAsia" w:cs="Times New Roman"/>
                <w:color w:val="auto"/>
                <w:sz w:val="21"/>
                <w:szCs w:val="24"/>
                <w:highlight w:val="none"/>
                <w:lang w:val="en-US" w:eastAsia="zh-CN"/>
              </w:rPr>
              <w:t>在建或已完</w:t>
            </w:r>
            <w:r>
              <w:rPr>
                <w:rFonts w:hint="eastAsia" w:ascii="Calibri" w:hAnsi="Calibri" w:eastAsia="宋体" w:cs="Times New Roman"/>
                <w:color w:val="auto"/>
                <w:sz w:val="21"/>
                <w:szCs w:val="24"/>
                <w:highlight w:val="none"/>
                <w:lang w:val="en-US" w:eastAsia="zh-CN"/>
              </w:rPr>
              <w:t>的高速公路服务区充电站施工</w:t>
            </w:r>
            <w:r>
              <w:rPr>
                <w:rFonts w:hint="eastAsia" w:cs="Times New Roman"/>
                <w:color w:val="auto"/>
                <w:sz w:val="21"/>
                <w:szCs w:val="24"/>
                <w:highlight w:val="none"/>
                <w:lang w:val="en-US" w:eastAsia="zh-CN"/>
              </w:rPr>
              <w:t>业绩</w:t>
            </w:r>
            <w:r>
              <w:rPr>
                <w:rFonts w:hint="eastAsia" w:ascii="Calibri" w:hAnsi="Calibri" w:eastAsia="宋体" w:cs="Times New Roman"/>
                <w:color w:val="auto"/>
                <w:sz w:val="21"/>
                <w:szCs w:val="24"/>
                <w:highlight w:val="none"/>
                <w:lang w:val="en-US" w:eastAsia="zh-CN"/>
              </w:rPr>
              <w:t>，加2分，此项最多加8分</w:t>
            </w:r>
            <w:r>
              <w:rPr>
                <w:rFonts w:hint="eastAsia" w:eastAsia="宋体" w:cs="Times New Roman"/>
                <w:color w:val="auto"/>
                <w:sz w:val="21"/>
                <w:szCs w:val="24"/>
                <w:highlight w:val="none"/>
                <w:lang w:val="en-US" w:eastAsia="zh-CN"/>
              </w:rPr>
              <w:t>，</w:t>
            </w:r>
            <w:r>
              <w:rPr>
                <w:rFonts w:hint="eastAsia" w:ascii="宋体" w:hAnsi="宋体" w:eastAsia="宋体" w:cs="宋体"/>
                <w:color w:val="auto"/>
                <w:kern w:val="0"/>
                <w:szCs w:val="21"/>
                <w:highlight w:val="none"/>
                <w:lang w:val="en-US" w:eastAsia="zh-CN"/>
              </w:rPr>
              <w:t>业绩数量按合同个数计</w:t>
            </w:r>
            <w:r>
              <w:rPr>
                <w:rFonts w:hint="eastAsia" w:ascii="Calibri" w:hAnsi="Calibri" w:eastAsia="宋体" w:cs="Times New Roman"/>
                <w:color w:val="auto"/>
                <w:sz w:val="21"/>
                <w:szCs w:val="24"/>
                <w:highlight w:val="none"/>
                <w:lang w:val="en-US" w:eastAsia="zh-CN"/>
              </w:rPr>
              <w:t>。</w:t>
            </w:r>
            <w:r>
              <w:rPr>
                <w:rFonts w:hint="eastAsia" w:ascii="宋体" w:hAnsi="宋体" w:eastAsia="宋体" w:cs="宋体"/>
                <w:color w:val="auto"/>
                <w:kern w:val="0"/>
                <w:szCs w:val="21"/>
                <w:highlight w:val="none"/>
                <w:lang w:val="en-US" w:eastAsia="zh-CN"/>
              </w:rPr>
              <w:t>合同协议书（必须包含合同封面页和签章页）</w:t>
            </w:r>
            <w:r>
              <w:rPr>
                <w:rFonts w:hint="default" w:ascii="宋体" w:hAnsi="宋体" w:eastAsia="宋体" w:cs="宋体"/>
                <w:color w:val="auto"/>
                <w:kern w:val="0"/>
                <w:szCs w:val="21"/>
                <w:highlight w:val="none"/>
                <w:lang w:val="en-US" w:eastAsia="zh-CN"/>
              </w:rPr>
              <w:t>作为业绩证明材料</w:t>
            </w:r>
            <w:r>
              <w:rPr>
                <w:rFonts w:hint="eastAsia" w:ascii="宋体" w:hAnsi="宋体" w:eastAsia="宋体" w:cs="宋体"/>
                <w:color w:val="auto"/>
                <w:kern w:val="0"/>
                <w:szCs w:val="21"/>
                <w:highlight w:val="none"/>
                <w:lang w:val="en-US" w:eastAsia="zh-CN"/>
              </w:rPr>
              <w:t>，</w:t>
            </w:r>
            <w:r>
              <w:rPr>
                <w:rFonts w:hint="default" w:ascii="宋体" w:hAnsi="宋体" w:eastAsia="宋体" w:cs="宋体"/>
                <w:color w:val="auto"/>
                <w:kern w:val="0"/>
                <w:szCs w:val="21"/>
                <w:highlight w:val="none"/>
                <w:lang w:val="en-US" w:eastAsia="zh-CN"/>
              </w:rPr>
              <w:t>证明材料能清楚反映所完成的</w:t>
            </w:r>
            <w:r>
              <w:rPr>
                <w:rFonts w:hint="eastAsia" w:ascii="宋体" w:hAnsi="宋体" w:eastAsia="宋体" w:cs="宋体"/>
                <w:color w:val="auto"/>
                <w:kern w:val="0"/>
                <w:szCs w:val="21"/>
                <w:highlight w:val="none"/>
                <w:lang w:val="en-US" w:eastAsia="zh-CN"/>
              </w:rPr>
              <w:t>项目</w:t>
            </w:r>
            <w:r>
              <w:rPr>
                <w:rFonts w:hint="default" w:ascii="宋体" w:hAnsi="宋体" w:eastAsia="宋体" w:cs="宋体"/>
                <w:color w:val="auto"/>
                <w:kern w:val="0"/>
                <w:szCs w:val="21"/>
                <w:highlight w:val="none"/>
                <w:lang w:val="en-US" w:eastAsia="zh-CN"/>
              </w:rPr>
              <w:t>内容</w:t>
            </w:r>
            <w:r>
              <w:rPr>
                <w:rFonts w:hint="eastAsia" w:ascii="宋体" w:hAnsi="宋体" w:eastAsia="宋体" w:cs="宋体"/>
                <w:color w:val="auto"/>
                <w:kern w:val="0"/>
                <w:szCs w:val="21"/>
                <w:highlight w:val="none"/>
                <w:lang w:val="en-US" w:eastAsia="zh-CN"/>
              </w:rPr>
              <w:t>、签订时间</w:t>
            </w:r>
            <w:r>
              <w:rPr>
                <w:rFonts w:hint="default" w:ascii="宋体" w:hAnsi="宋体" w:eastAsia="宋体" w:cs="宋体"/>
                <w:color w:val="auto"/>
                <w:kern w:val="0"/>
                <w:szCs w:val="21"/>
                <w:highlight w:val="none"/>
                <w:lang w:val="en-US" w:eastAsia="zh-CN"/>
              </w:rPr>
              <w:t>，若证明材料不能清晰反映，则该业绩不予认定</w:t>
            </w:r>
            <w:r>
              <w:rPr>
                <w:rFonts w:hint="eastAsia" w:ascii="宋体" w:hAnsi="宋体" w:eastAsia="宋体" w:cs="宋体"/>
                <w:color w:val="auto"/>
                <w:kern w:val="0"/>
                <w:szCs w:val="21"/>
                <w:highlight w:val="none"/>
                <w:lang w:val="en-US" w:eastAsia="zh-CN"/>
              </w:rPr>
              <w:t>。</w:t>
            </w:r>
          </w:p>
        </w:tc>
      </w:tr>
      <w:tr w14:paraId="2B043845">
        <w:tblPrEx>
          <w:tblCellMar>
            <w:top w:w="0" w:type="dxa"/>
            <w:left w:w="108" w:type="dxa"/>
            <w:bottom w:w="0" w:type="dxa"/>
            <w:right w:w="108" w:type="dxa"/>
          </w:tblCellMar>
        </w:tblPrEx>
        <w:trPr>
          <w:gridAfter w:val="1"/>
          <w:wAfter w:w="9" w:type="dxa"/>
          <w:trHeight w:val="661" w:hRule="atLeast"/>
          <w:jc w:val="center"/>
        </w:trPr>
        <w:tc>
          <w:tcPr>
            <w:tcW w:w="851" w:type="dxa"/>
            <w:vMerge w:val="continue"/>
            <w:tcBorders>
              <w:top w:val="single" w:color="auto" w:sz="4" w:space="0"/>
              <w:left w:val="single" w:color="auto" w:sz="4" w:space="0"/>
              <w:bottom w:val="single" w:color="auto" w:sz="4" w:space="0"/>
              <w:right w:val="single" w:color="auto" w:sz="4" w:space="0"/>
            </w:tcBorders>
            <w:vAlign w:val="center"/>
          </w:tcPr>
          <w:p w14:paraId="4D1F22AE">
            <w:pPr>
              <w:spacing w:line="360" w:lineRule="auto"/>
              <w:jc w:val="left"/>
              <w:rPr>
                <w:rFonts w:ascii="Times New Roman" w:hAnsi="Times New Roman" w:cs="Times New Roman"/>
                <w:highlight w:val="none"/>
              </w:rPr>
            </w:pPr>
          </w:p>
        </w:tc>
        <w:tc>
          <w:tcPr>
            <w:tcW w:w="1693" w:type="dxa"/>
            <w:vMerge w:val="continue"/>
            <w:tcBorders>
              <w:top w:val="single" w:color="auto" w:sz="4" w:space="0"/>
              <w:left w:val="single" w:color="auto" w:sz="4" w:space="0"/>
              <w:bottom w:val="single" w:color="auto" w:sz="4" w:space="0"/>
              <w:right w:val="single" w:color="auto" w:sz="4" w:space="0"/>
            </w:tcBorders>
            <w:vAlign w:val="center"/>
          </w:tcPr>
          <w:p w14:paraId="745BBB68">
            <w:pPr>
              <w:spacing w:line="360" w:lineRule="auto"/>
              <w:jc w:val="left"/>
              <w:rPr>
                <w:rFonts w:ascii="Times New Roman" w:hAnsi="Times New Roman" w:cs="Times New Roman"/>
                <w:highlight w:val="none"/>
              </w:rPr>
            </w:pPr>
          </w:p>
        </w:tc>
        <w:tc>
          <w:tcPr>
            <w:tcW w:w="1923" w:type="dxa"/>
            <w:tcBorders>
              <w:top w:val="single" w:color="auto" w:sz="4" w:space="0"/>
              <w:left w:val="single" w:color="auto" w:sz="4" w:space="0"/>
              <w:bottom w:val="single" w:color="auto" w:sz="4" w:space="0"/>
              <w:right w:val="single" w:color="auto" w:sz="4" w:space="0"/>
            </w:tcBorders>
            <w:vAlign w:val="center"/>
          </w:tcPr>
          <w:p w14:paraId="149A943E">
            <w:pPr>
              <w:spacing w:line="360" w:lineRule="auto"/>
              <w:jc w:val="center"/>
              <w:rPr>
                <w:rFonts w:ascii="Times New Roman" w:hAnsi="Times New Roman" w:cs="Times New Roman"/>
                <w:highlight w:val="none"/>
              </w:rPr>
            </w:pPr>
            <w:r>
              <w:rPr>
                <w:rFonts w:hint="default" w:ascii="宋体" w:hAnsi="宋体" w:eastAsia="宋体" w:cs="宋体"/>
                <w:color w:val="auto"/>
                <w:szCs w:val="21"/>
                <w:highlight w:val="none"/>
                <w:lang w:val="en-US" w:eastAsia="zh-CN"/>
              </w:rPr>
              <w:t>团队能力及企业综合能力</w:t>
            </w:r>
            <w:r>
              <w:rPr>
                <w:rFonts w:ascii="Times New Roman" w:hAnsi="Times New Roman" w:cs="Times New Roman"/>
                <w:szCs w:val="21"/>
                <w:highlight w:val="none"/>
              </w:rPr>
              <w:t>（</w:t>
            </w:r>
            <w:r>
              <w:rPr>
                <w:rFonts w:hint="eastAsia" w:ascii="Times New Roman" w:hAnsi="Times New Roman" w:cs="Times New Roman"/>
                <w:szCs w:val="21"/>
                <w:highlight w:val="none"/>
                <w:lang w:val="en-US" w:eastAsia="zh-CN"/>
              </w:rPr>
              <w:t>10</w:t>
            </w:r>
            <w:r>
              <w:rPr>
                <w:rFonts w:ascii="Times New Roman" w:hAnsi="Times New Roman" w:cs="Times New Roman"/>
                <w:szCs w:val="21"/>
                <w:highlight w:val="none"/>
              </w:rPr>
              <w:t>分）</w:t>
            </w:r>
          </w:p>
        </w:tc>
        <w:tc>
          <w:tcPr>
            <w:tcW w:w="5372" w:type="dxa"/>
            <w:gridSpan w:val="2"/>
            <w:tcBorders>
              <w:top w:val="single" w:color="auto" w:sz="4" w:space="0"/>
              <w:left w:val="single" w:color="auto" w:sz="4" w:space="0"/>
              <w:bottom w:val="single" w:color="auto" w:sz="4" w:space="0"/>
              <w:right w:val="single" w:color="auto" w:sz="4" w:space="0"/>
            </w:tcBorders>
            <w:vAlign w:val="center"/>
          </w:tcPr>
          <w:p w14:paraId="5E892D72">
            <w:pPr>
              <w:widowControl/>
              <w:spacing w:line="480" w:lineRule="exact"/>
              <w:rPr>
                <w:rFonts w:hint="eastAsia"/>
                <w:color w:val="auto"/>
                <w:highlight w:val="none"/>
              </w:rPr>
            </w:pPr>
            <w:r>
              <w:rPr>
                <w:rFonts w:hint="eastAsia"/>
                <w:color w:val="auto"/>
                <w:highlight w:val="none"/>
              </w:rPr>
              <w:t>满足资格审查</w:t>
            </w:r>
            <w:r>
              <w:rPr>
                <w:rFonts w:hint="eastAsia"/>
                <w:color w:val="auto"/>
                <w:highlight w:val="none"/>
                <w:lang w:val="en-US" w:eastAsia="zh-CN"/>
              </w:rPr>
              <w:t>要求</w:t>
            </w:r>
            <w:r>
              <w:rPr>
                <w:rFonts w:hint="eastAsia"/>
                <w:color w:val="auto"/>
                <w:highlight w:val="none"/>
              </w:rPr>
              <w:t>得</w:t>
            </w:r>
            <w:r>
              <w:rPr>
                <w:rFonts w:hint="eastAsia"/>
                <w:color w:val="auto"/>
                <w:highlight w:val="none"/>
                <w:lang w:val="en-US" w:eastAsia="zh-CN"/>
              </w:rPr>
              <w:t>6</w:t>
            </w:r>
            <w:r>
              <w:rPr>
                <w:rFonts w:hint="eastAsia"/>
                <w:color w:val="auto"/>
                <w:highlight w:val="none"/>
              </w:rPr>
              <w:t>分；</w:t>
            </w:r>
          </w:p>
          <w:p w14:paraId="5DD309A7">
            <w:pPr>
              <w:widowControl/>
              <w:numPr>
                <w:ilvl w:val="0"/>
                <w:numId w:val="5"/>
              </w:numPr>
              <w:spacing w:line="480" w:lineRule="exact"/>
              <w:rPr>
                <w:rFonts w:hint="eastAsia"/>
                <w:color w:val="auto"/>
                <w:highlight w:val="none"/>
                <w:lang w:val="en-US" w:eastAsia="zh-CN"/>
              </w:rPr>
            </w:pPr>
            <w:r>
              <w:rPr>
                <w:rFonts w:hint="eastAsia"/>
                <w:color w:val="auto"/>
                <w:highlight w:val="none"/>
                <w:lang w:val="en-US" w:eastAsia="zh-CN"/>
              </w:rPr>
              <w:t>项目经理同时具有工程类工程师及以上职称得1分；</w:t>
            </w:r>
          </w:p>
          <w:p w14:paraId="039109E4">
            <w:pPr>
              <w:widowControl/>
              <w:numPr>
                <w:ilvl w:val="0"/>
                <w:numId w:val="5"/>
              </w:numPr>
              <w:spacing w:line="480" w:lineRule="exact"/>
              <w:rPr>
                <w:rFonts w:hint="eastAsia"/>
                <w:color w:val="auto"/>
                <w:highlight w:val="none"/>
                <w:lang w:val="en-US" w:eastAsia="zh-CN"/>
              </w:rPr>
            </w:pPr>
            <w:r>
              <w:rPr>
                <w:rFonts w:hint="eastAsia"/>
                <w:color w:val="auto"/>
                <w:highlight w:val="none"/>
                <w:lang w:val="en-US" w:eastAsia="zh-CN"/>
              </w:rPr>
              <w:t>项目经理在近三年（2023年1月1日起至比选申请截止日，以合同签订时间为准）每具有1个在建或已完的高速公路服务区充电站施工项目经理业绩，加1分，</w:t>
            </w:r>
            <w:r>
              <w:rPr>
                <w:rFonts w:hint="eastAsia" w:ascii="宋体" w:hAnsi="宋体" w:cs="宋体"/>
                <w:color w:val="auto"/>
                <w:kern w:val="0"/>
                <w:szCs w:val="21"/>
                <w:highlight w:val="none"/>
                <w:lang w:val="en-US" w:eastAsia="zh-CN"/>
              </w:rPr>
              <w:t>本小项最多</w:t>
            </w:r>
            <w:r>
              <w:rPr>
                <w:rFonts w:hint="eastAsia"/>
                <w:color w:val="auto"/>
                <w:highlight w:val="none"/>
                <w:lang w:val="en-US" w:eastAsia="zh-CN"/>
              </w:rPr>
              <w:t>加3分；</w:t>
            </w:r>
          </w:p>
          <w:p w14:paraId="3067402F">
            <w:pPr>
              <w:spacing w:line="360" w:lineRule="auto"/>
              <w:jc w:val="left"/>
              <w:rPr>
                <w:rFonts w:ascii="Times New Roman" w:hAnsi="Times New Roman" w:cs="Times New Roman"/>
                <w:highlight w:val="none"/>
              </w:rPr>
            </w:pPr>
            <w:r>
              <w:rPr>
                <w:rFonts w:hint="eastAsia" w:cs="Times New Roman"/>
                <w:color w:val="auto"/>
                <w:kern w:val="2"/>
                <w:szCs w:val="24"/>
                <w:highlight w:val="none"/>
                <w:lang w:val="en-US" w:eastAsia="zh-CN" w:bidi="ar"/>
              </w:rPr>
              <w:t>注：人员</w:t>
            </w:r>
            <w:r>
              <w:rPr>
                <w:rFonts w:hint="eastAsia" w:ascii="Calibri" w:hAnsi="Calibri" w:eastAsia="宋体" w:cs="Times New Roman"/>
                <w:color w:val="auto"/>
                <w:kern w:val="2"/>
                <w:szCs w:val="24"/>
                <w:highlight w:val="none"/>
                <w:lang w:eastAsia="zh-CN" w:bidi="ar"/>
              </w:rPr>
              <w:t>业绩</w:t>
            </w:r>
            <w:r>
              <w:rPr>
                <w:rFonts w:hint="eastAsia" w:ascii="Calibri" w:hAnsi="Calibri" w:eastAsia="宋体" w:cs="Times New Roman"/>
                <w:color w:val="auto"/>
                <w:kern w:val="2"/>
                <w:szCs w:val="24"/>
                <w:highlight w:val="none"/>
                <w:lang w:val="en-US" w:eastAsia="zh-CN"/>
              </w:rPr>
              <w:t>证明材料</w:t>
            </w:r>
            <w:r>
              <w:rPr>
                <w:rFonts w:hint="eastAsia" w:cs="Times New Roman"/>
                <w:color w:val="auto"/>
                <w:kern w:val="2"/>
                <w:szCs w:val="24"/>
                <w:highlight w:val="none"/>
                <w:lang w:val="en-US" w:eastAsia="zh-CN"/>
              </w:rPr>
              <w:t>为</w:t>
            </w:r>
            <w:r>
              <w:rPr>
                <w:rFonts w:hint="eastAsia" w:ascii="宋体" w:hAnsi="宋体" w:eastAsia="宋体" w:cs="宋体"/>
                <w:color w:val="auto"/>
                <w:kern w:val="0"/>
                <w:szCs w:val="21"/>
                <w:highlight w:val="none"/>
                <w:lang w:val="en-US" w:eastAsia="zh-CN"/>
              </w:rPr>
              <w:t>合同协议书</w:t>
            </w:r>
            <w:r>
              <w:rPr>
                <w:rFonts w:hint="eastAsia" w:ascii="宋体" w:hAnsi="宋体" w:cs="宋体"/>
                <w:color w:val="auto"/>
                <w:kern w:val="0"/>
                <w:szCs w:val="21"/>
                <w:highlight w:val="none"/>
                <w:lang w:val="en-US" w:eastAsia="zh-CN"/>
              </w:rPr>
              <w:t>，业绩数量按合同个数计，</w:t>
            </w:r>
            <w:r>
              <w:rPr>
                <w:rFonts w:hint="eastAsia" w:ascii="Calibri" w:hAnsi="Calibri" w:eastAsia="宋体" w:cs="Times New Roman"/>
                <w:color w:val="auto"/>
                <w:kern w:val="2"/>
                <w:szCs w:val="24"/>
                <w:highlight w:val="none"/>
                <w:lang w:val="en-US" w:eastAsia="zh-CN"/>
              </w:rPr>
              <w:t>须能清晰</w:t>
            </w:r>
            <w:r>
              <w:rPr>
                <w:rFonts w:hint="eastAsia" w:cs="Times New Roman"/>
                <w:color w:val="auto"/>
                <w:kern w:val="2"/>
                <w:szCs w:val="24"/>
                <w:highlight w:val="none"/>
                <w:lang w:val="en-US" w:eastAsia="zh-CN"/>
              </w:rPr>
              <w:t>反映其</w:t>
            </w:r>
            <w:r>
              <w:rPr>
                <w:rFonts w:hint="eastAsia" w:ascii="Calibri" w:hAnsi="Calibri" w:eastAsia="宋体" w:cs="Times New Roman"/>
                <w:color w:val="auto"/>
                <w:kern w:val="2"/>
                <w:szCs w:val="24"/>
                <w:highlight w:val="none"/>
                <w:lang w:val="en-US" w:eastAsia="zh-CN"/>
              </w:rPr>
              <w:t>在类似项目中担任的职务。</w:t>
            </w:r>
          </w:p>
        </w:tc>
      </w:tr>
      <w:tr w14:paraId="706498DE">
        <w:tblPrEx>
          <w:tblCellMar>
            <w:top w:w="0" w:type="dxa"/>
            <w:left w:w="108" w:type="dxa"/>
            <w:bottom w:w="0" w:type="dxa"/>
            <w:right w:w="108" w:type="dxa"/>
          </w:tblCellMar>
        </w:tblPrEx>
        <w:trPr>
          <w:gridAfter w:val="1"/>
          <w:wAfter w:w="9" w:type="dxa"/>
          <w:trHeight w:val="661" w:hRule="atLeast"/>
          <w:jc w:val="center"/>
        </w:trPr>
        <w:tc>
          <w:tcPr>
            <w:tcW w:w="851" w:type="dxa"/>
            <w:vMerge w:val="restart"/>
            <w:tcBorders>
              <w:top w:val="single" w:color="auto" w:sz="4" w:space="0"/>
              <w:left w:val="single" w:color="auto" w:sz="4" w:space="0"/>
              <w:right w:val="single" w:color="auto" w:sz="4" w:space="0"/>
            </w:tcBorders>
            <w:vAlign w:val="center"/>
          </w:tcPr>
          <w:p w14:paraId="3BD8283E">
            <w:pPr>
              <w:spacing w:line="360" w:lineRule="auto"/>
              <w:jc w:val="left"/>
              <w:rPr>
                <w:rFonts w:hint="default"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3.1.2</w:t>
            </w:r>
          </w:p>
        </w:tc>
        <w:tc>
          <w:tcPr>
            <w:tcW w:w="1693" w:type="dxa"/>
            <w:vMerge w:val="restart"/>
            <w:tcBorders>
              <w:top w:val="single" w:color="auto" w:sz="4" w:space="0"/>
              <w:left w:val="single" w:color="auto" w:sz="4" w:space="0"/>
              <w:right w:val="single" w:color="auto" w:sz="4" w:space="0"/>
            </w:tcBorders>
            <w:vAlign w:val="center"/>
          </w:tcPr>
          <w:p w14:paraId="11289116">
            <w:pPr>
              <w:spacing w:line="360" w:lineRule="auto"/>
              <w:jc w:val="center"/>
              <w:rPr>
                <w:rFonts w:hint="default" w:ascii="Times New Roman" w:hAnsi="Times New Roman" w:cs="Times New Roman"/>
                <w:highlight w:val="none"/>
                <w:lang w:val="en-US"/>
              </w:rPr>
            </w:pPr>
            <w:r>
              <w:rPr>
                <w:rFonts w:hint="eastAsia" w:ascii="宋体" w:hAnsi="宋体" w:cs="宋体"/>
                <w:color w:val="auto"/>
                <w:szCs w:val="21"/>
                <w:highlight w:val="none"/>
                <w:lang w:val="en-US" w:eastAsia="zh-CN"/>
              </w:rPr>
              <w:t>技术部分（20分）</w:t>
            </w:r>
          </w:p>
        </w:tc>
        <w:tc>
          <w:tcPr>
            <w:tcW w:w="1923" w:type="dxa"/>
            <w:tcBorders>
              <w:top w:val="single" w:color="auto" w:sz="4" w:space="0"/>
              <w:left w:val="single" w:color="auto" w:sz="4" w:space="0"/>
              <w:bottom w:val="single" w:color="auto" w:sz="4" w:space="0"/>
              <w:right w:val="single" w:color="auto" w:sz="4" w:space="0"/>
            </w:tcBorders>
            <w:vAlign w:val="center"/>
          </w:tcPr>
          <w:p w14:paraId="457B9900">
            <w:pPr>
              <w:spacing w:line="360" w:lineRule="auto"/>
              <w:jc w:val="center"/>
              <w:rPr>
                <w:rFonts w:ascii="Times New Roman" w:hAnsi="Times New Roman" w:cs="Times New Roman"/>
                <w:highlight w:val="none"/>
              </w:rPr>
            </w:pPr>
            <w:r>
              <w:rPr>
                <w:rFonts w:hint="eastAsia" w:ascii="宋体" w:hAnsi="宋体" w:eastAsia="宋体" w:cs="宋体"/>
                <w:color w:val="auto"/>
                <w:szCs w:val="21"/>
                <w:highlight w:val="none"/>
              </w:rPr>
              <w:t>内容完整性和编制水平</w:t>
            </w:r>
            <w:r>
              <w:rPr>
                <w:rFonts w:ascii="Times New Roman" w:hAnsi="Times New Roman" w:cs="Times New Roman"/>
                <w:szCs w:val="21"/>
                <w:highlight w:val="none"/>
              </w:rPr>
              <w:t>（</w:t>
            </w:r>
            <w:r>
              <w:rPr>
                <w:rFonts w:hint="eastAsia" w:ascii="Times New Roman" w:hAnsi="Times New Roman" w:cs="Times New Roman"/>
                <w:szCs w:val="21"/>
                <w:highlight w:val="none"/>
                <w:lang w:val="en-US" w:eastAsia="zh-CN"/>
              </w:rPr>
              <w:t>2</w:t>
            </w:r>
            <w:r>
              <w:rPr>
                <w:rFonts w:ascii="Times New Roman" w:hAnsi="Times New Roman" w:cs="Times New Roman"/>
                <w:szCs w:val="21"/>
                <w:highlight w:val="none"/>
              </w:rPr>
              <w:t>分）</w:t>
            </w:r>
          </w:p>
        </w:tc>
        <w:tc>
          <w:tcPr>
            <w:tcW w:w="5372" w:type="dxa"/>
            <w:gridSpan w:val="2"/>
            <w:tcBorders>
              <w:top w:val="single" w:color="auto" w:sz="4" w:space="0"/>
              <w:left w:val="single" w:color="auto" w:sz="4" w:space="0"/>
              <w:bottom w:val="single" w:color="auto" w:sz="4" w:space="0"/>
              <w:right w:val="single" w:color="auto" w:sz="4" w:space="0"/>
            </w:tcBorders>
            <w:vAlign w:val="center"/>
          </w:tcPr>
          <w:p w14:paraId="6DD694C7">
            <w:pPr>
              <w:spacing w:line="360" w:lineRule="auto"/>
              <w:jc w:val="left"/>
              <w:rPr>
                <w:rFonts w:ascii="Times New Roman" w:hAnsi="Times New Roman" w:cs="Times New Roman"/>
                <w:highlight w:val="none"/>
              </w:rPr>
            </w:pPr>
            <w:r>
              <w:rPr>
                <w:rFonts w:hint="eastAsia" w:ascii="宋体" w:hAnsi="宋体" w:eastAsia="宋体" w:cs="宋体"/>
                <w:color w:val="auto"/>
                <w:szCs w:val="21"/>
                <w:highlight w:val="none"/>
              </w:rPr>
              <w:t>结合本项目实际要求编制完整、科学、具有针对性的</w:t>
            </w:r>
            <w:r>
              <w:rPr>
                <w:rFonts w:hint="eastAsia" w:ascii="宋体" w:hAnsi="宋体" w:eastAsia="宋体" w:cs="宋体"/>
                <w:color w:val="auto"/>
                <w:szCs w:val="21"/>
                <w:highlight w:val="none"/>
                <w:lang w:val="en-US" w:eastAsia="zh-CN"/>
              </w:rPr>
              <w:t>施工组织设计</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好</w:t>
            </w:r>
            <w:r>
              <w:rPr>
                <w:rFonts w:hint="eastAsia" w:ascii="宋体" w:hAnsi="宋体" w:eastAsia="宋体" w:cs="宋体"/>
                <w:color w:val="auto"/>
                <w:szCs w:val="21"/>
                <w:highlight w:val="none"/>
              </w:rPr>
              <w:t>：1</w:t>
            </w:r>
            <w:r>
              <w:rPr>
                <w:rFonts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6</w:t>
            </w:r>
            <w:r>
              <w:rPr>
                <w:rFonts w:ascii="宋体" w:hAnsi="宋体" w:eastAsia="宋体" w:cs="宋体"/>
                <w:color w:val="auto"/>
                <w:szCs w:val="21"/>
                <w:highlight w:val="none"/>
              </w:rPr>
              <w:t>-2.0</w:t>
            </w:r>
            <w:r>
              <w:rPr>
                <w:rFonts w:hint="eastAsia" w:ascii="宋体" w:hAnsi="宋体" w:eastAsia="宋体" w:cs="宋体"/>
                <w:color w:val="auto"/>
                <w:szCs w:val="21"/>
                <w:highlight w:val="none"/>
              </w:rPr>
              <w:t>分；一般：1.2</w:t>
            </w:r>
            <w:r>
              <w:rPr>
                <w:rFonts w:ascii="宋体" w:hAnsi="宋体" w:eastAsia="宋体" w:cs="宋体"/>
                <w:color w:val="auto"/>
                <w:szCs w:val="21"/>
                <w:highlight w:val="none"/>
              </w:rPr>
              <w:t>-1</w:t>
            </w:r>
            <w:r>
              <w:rPr>
                <w:rFonts w:hint="eastAsia" w:ascii="宋体" w:hAnsi="宋体" w:eastAsia="宋体" w:cs="宋体"/>
                <w:color w:val="auto"/>
                <w:szCs w:val="21"/>
                <w:highlight w:val="none"/>
              </w:rPr>
              <w:t>.5分，未提供不得分。注：保留一位小数。</w:t>
            </w:r>
          </w:p>
        </w:tc>
      </w:tr>
      <w:tr w14:paraId="60F864FB">
        <w:tblPrEx>
          <w:tblCellMar>
            <w:top w:w="0" w:type="dxa"/>
            <w:left w:w="108" w:type="dxa"/>
            <w:bottom w:w="0" w:type="dxa"/>
            <w:right w:w="108" w:type="dxa"/>
          </w:tblCellMar>
        </w:tblPrEx>
        <w:trPr>
          <w:gridAfter w:val="1"/>
          <w:wAfter w:w="9" w:type="dxa"/>
          <w:trHeight w:val="1852" w:hRule="atLeast"/>
          <w:jc w:val="center"/>
        </w:trPr>
        <w:tc>
          <w:tcPr>
            <w:tcW w:w="851" w:type="dxa"/>
            <w:vMerge w:val="continue"/>
            <w:tcBorders>
              <w:left w:val="single" w:color="auto" w:sz="4" w:space="0"/>
              <w:right w:val="single" w:color="auto" w:sz="4" w:space="0"/>
            </w:tcBorders>
            <w:vAlign w:val="center"/>
          </w:tcPr>
          <w:p w14:paraId="1A3895FB">
            <w:pPr>
              <w:spacing w:line="360" w:lineRule="auto"/>
              <w:jc w:val="left"/>
              <w:rPr>
                <w:rFonts w:ascii="Times New Roman" w:hAnsi="Times New Roman" w:cs="Times New Roman"/>
                <w:highlight w:val="none"/>
              </w:rPr>
            </w:pPr>
          </w:p>
        </w:tc>
        <w:tc>
          <w:tcPr>
            <w:tcW w:w="1693" w:type="dxa"/>
            <w:vMerge w:val="continue"/>
            <w:tcBorders>
              <w:left w:val="single" w:color="auto" w:sz="4" w:space="0"/>
              <w:right w:val="single" w:color="auto" w:sz="4" w:space="0"/>
            </w:tcBorders>
            <w:vAlign w:val="center"/>
          </w:tcPr>
          <w:p w14:paraId="561DB00B">
            <w:pPr>
              <w:spacing w:line="360" w:lineRule="auto"/>
              <w:jc w:val="left"/>
              <w:rPr>
                <w:rFonts w:ascii="Times New Roman" w:hAnsi="Times New Roman" w:cs="Times New Roman"/>
                <w:highlight w:val="none"/>
              </w:rPr>
            </w:pPr>
          </w:p>
        </w:tc>
        <w:tc>
          <w:tcPr>
            <w:tcW w:w="1923" w:type="dxa"/>
            <w:tcBorders>
              <w:top w:val="single" w:color="auto" w:sz="4" w:space="0"/>
              <w:left w:val="nil"/>
              <w:bottom w:val="single" w:color="000000" w:sz="4" w:space="0"/>
              <w:right w:val="single" w:color="000000" w:sz="4" w:space="0"/>
            </w:tcBorders>
            <w:vAlign w:val="center"/>
          </w:tcPr>
          <w:p w14:paraId="4FD39906">
            <w:pPr>
              <w:spacing w:line="360" w:lineRule="auto"/>
              <w:jc w:val="center"/>
              <w:rPr>
                <w:rFonts w:ascii="Times New Roman" w:hAnsi="Times New Roman" w:cs="Times New Roman"/>
                <w:highlight w:val="none"/>
              </w:rPr>
            </w:pPr>
            <w:r>
              <w:rPr>
                <w:rFonts w:hint="eastAsia" w:ascii="宋体" w:hAnsi="宋体" w:eastAsia="宋体" w:cs="宋体"/>
                <w:color w:val="auto"/>
                <w:szCs w:val="21"/>
                <w:highlight w:val="none"/>
              </w:rPr>
              <w:t>施工方案与技术措施</w:t>
            </w:r>
            <w:r>
              <w:rPr>
                <w:rFonts w:ascii="Times New Roman" w:hAnsi="Times New Roman" w:cs="Times New Roman"/>
                <w:szCs w:val="21"/>
                <w:highlight w:val="none"/>
              </w:rPr>
              <w:t>（</w:t>
            </w:r>
            <w:r>
              <w:rPr>
                <w:rFonts w:hint="eastAsia" w:ascii="Times New Roman" w:hAnsi="Times New Roman" w:cs="Times New Roman"/>
                <w:szCs w:val="21"/>
                <w:highlight w:val="none"/>
              </w:rPr>
              <w:t>3</w:t>
            </w:r>
            <w:r>
              <w:rPr>
                <w:rFonts w:ascii="Times New Roman" w:hAnsi="Times New Roman" w:cs="Times New Roman"/>
                <w:szCs w:val="21"/>
                <w:highlight w:val="none"/>
              </w:rPr>
              <w:t>分）</w:t>
            </w:r>
          </w:p>
        </w:tc>
        <w:tc>
          <w:tcPr>
            <w:tcW w:w="5372" w:type="dxa"/>
            <w:gridSpan w:val="2"/>
            <w:tcBorders>
              <w:top w:val="single" w:color="auto" w:sz="4" w:space="0"/>
              <w:left w:val="nil"/>
              <w:bottom w:val="single" w:color="000000" w:sz="4" w:space="0"/>
              <w:right w:val="single" w:color="000000" w:sz="4" w:space="0"/>
            </w:tcBorders>
            <w:vAlign w:val="center"/>
          </w:tcPr>
          <w:p w14:paraId="08991131">
            <w:pPr>
              <w:spacing w:line="360" w:lineRule="auto"/>
              <w:jc w:val="left"/>
              <w:rPr>
                <w:rFonts w:ascii="Times New Roman" w:hAnsi="Times New Roman" w:cs="Times New Roman"/>
                <w:highlight w:val="none"/>
              </w:rPr>
            </w:pPr>
            <w:r>
              <w:rPr>
                <w:rFonts w:hint="eastAsia" w:ascii="宋体" w:hAnsi="宋体" w:eastAsia="宋体" w:cs="宋体"/>
                <w:color w:val="auto"/>
                <w:szCs w:val="21"/>
                <w:highlight w:val="none"/>
              </w:rPr>
              <w:t>对本工程的难点、重点的分析把握是否准确，提出的施工方案与技术措施是否符合本工程实际，是否具有针对性，</w:t>
            </w:r>
            <w:r>
              <w:rPr>
                <w:rFonts w:hint="eastAsia" w:ascii="宋体" w:hAnsi="宋体" w:cs="宋体"/>
                <w:color w:val="auto"/>
                <w:szCs w:val="21"/>
                <w:highlight w:val="none"/>
                <w:lang w:val="en-US" w:eastAsia="zh-CN"/>
              </w:rPr>
              <w:t>好</w:t>
            </w:r>
            <w:r>
              <w:rPr>
                <w:rFonts w:hint="eastAsia" w:ascii="宋体" w:hAnsi="宋体" w:eastAsia="宋体" w:cs="宋体"/>
                <w:color w:val="auto"/>
                <w:szCs w:val="21"/>
                <w:highlight w:val="none"/>
              </w:rPr>
              <w:t>：</w:t>
            </w:r>
            <w:r>
              <w:rPr>
                <w:rFonts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w:t>
            </w:r>
            <w:r>
              <w:rPr>
                <w:rFonts w:ascii="宋体" w:hAnsi="宋体" w:eastAsia="宋体" w:cs="宋体"/>
                <w:color w:val="auto"/>
                <w:szCs w:val="21"/>
                <w:highlight w:val="none"/>
              </w:rPr>
              <w:t>-3.0</w:t>
            </w:r>
            <w:r>
              <w:rPr>
                <w:rFonts w:hint="eastAsia" w:ascii="宋体" w:hAnsi="宋体" w:eastAsia="宋体" w:cs="宋体"/>
                <w:color w:val="auto"/>
                <w:szCs w:val="21"/>
                <w:highlight w:val="none"/>
              </w:rPr>
              <w:t>分；一般：1.8</w:t>
            </w:r>
            <w:r>
              <w:rPr>
                <w:rFonts w:ascii="宋体" w:hAnsi="宋体" w:eastAsia="宋体" w:cs="宋体"/>
                <w:color w:val="auto"/>
                <w:szCs w:val="21"/>
                <w:highlight w:val="none"/>
              </w:rPr>
              <w:t>-</w:t>
            </w:r>
            <w:r>
              <w:rPr>
                <w:rFonts w:hint="eastAsia" w:ascii="宋体" w:hAnsi="宋体" w:eastAsia="宋体" w:cs="宋体"/>
                <w:color w:val="auto"/>
                <w:szCs w:val="21"/>
                <w:highlight w:val="none"/>
              </w:rPr>
              <w:t>2.0分，未提供不得分。注：保留一位小数。</w:t>
            </w:r>
          </w:p>
        </w:tc>
      </w:tr>
      <w:tr w14:paraId="294405F8">
        <w:tblPrEx>
          <w:tblCellMar>
            <w:top w:w="0" w:type="dxa"/>
            <w:left w:w="108" w:type="dxa"/>
            <w:bottom w:w="0" w:type="dxa"/>
            <w:right w:w="108" w:type="dxa"/>
          </w:tblCellMar>
        </w:tblPrEx>
        <w:trPr>
          <w:gridAfter w:val="1"/>
          <w:wAfter w:w="9" w:type="dxa"/>
          <w:trHeight w:val="661" w:hRule="atLeast"/>
          <w:jc w:val="center"/>
        </w:trPr>
        <w:tc>
          <w:tcPr>
            <w:tcW w:w="851" w:type="dxa"/>
            <w:vMerge w:val="continue"/>
            <w:tcBorders>
              <w:left w:val="single" w:color="auto" w:sz="4" w:space="0"/>
              <w:right w:val="single" w:color="auto" w:sz="4" w:space="0"/>
            </w:tcBorders>
            <w:vAlign w:val="center"/>
          </w:tcPr>
          <w:p w14:paraId="7F743078">
            <w:pPr>
              <w:spacing w:line="360" w:lineRule="auto"/>
              <w:jc w:val="left"/>
              <w:rPr>
                <w:rFonts w:ascii="Times New Roman" w:hAnsi="Times New Roman" w:cs="Times New Roman"/>
                <w:highlight w:val="none"/>
              </w:rPr>
            </w:pPr>
          </w:p>
        </w:tc>
        <w:tc>
          <w:tcPr>
            <w:tcW w:w="1693" w:type="dxa"/>
            <w:vMerge w:val="continue"/>
            <w:tcBorders>
              <w:left w:val="single" w:color="auto" w:sz="4" w:space="0"/>
              <w:right w:val="single" w:color="auto" w:sz="4" w:space="0"/>
            </w:tcBorders>
            <w:vAlign w:val="center"/>
          </w:tcPr>
          <w:p w14:paraId="236D2909">
            <w:pPr>
              <w:spacing w:line="360" w:lineRule="auto"/>
              <w:jc w:val="left"/>
              <w:rPr>
                <w:rFonts w:ascii="Times New Roman" w:hAnsi="Times New Roman" w:cs="Times New Roman"/>
                <w:highlight w:val="none"/>
              </w:rPr>
            </w:pPr>
          </w:p>
        </w:tc>
        <w:tc>
          <w:tcPr>
            <w:tcW w:w="1923" w:type="dxa"/>
            <w:tcBorders>
              <w:top w:val="single" w:color="000000" w:sz="4" w:space="0"/>
              <w:left w:val="nil"/>
              <w:bottom w:val="single" w:color="auto" w:sz="4" w:space="0"/>
              <w:right w:val="single" w:color="000000" w:sz="4" w:space="0"/>
            </w:tcBorders>
            <w:vAlign w:val="center"/>
          </w:tcPr>
          <w:p w14:paraId="377CC06C">
            <w:pPr>
              <w:spacing w:line="360" w:lineRule="auto"/>
              <w:jc w:val="center"/>
              <w:rPr>
                <w:rFonts w:ascii="Times New Roman" w:hAnsi="Times New Roman" w:cs="Times New Roman"/>
                <w:highlight w:val="none"/>
              </w:rPr>
            </w:pPr>
            <w:r>
              <w:rPr>
                <w:rFonts w:hint="eastAsia" w:ascii="宋体" w:hAnsi="宋体" w:eastAsia="宋体" w:cs="宋体"/>
                <w:color w:val="auto"/>
                <w:szCs w:val="21"/>
                <w:highlight w:val="none"/>
              </w:rPr>
              <w:t>质量管理体系与措施</w:t>
            </w:r>
            <w:r>
              <w:rPr>
                <w:rFonts w:ascii="Times New Roman" w:hAnsi="Times New Roman" w:cs="Times New Roman"/>
                <w:szCs w:val="21"/>
                <w:highlight w:val="none"/>
              </w:rPr>
              <w:t>（</w:t>
            </w:r>
            <w:r>
              <w:rPr>
                <w:rFonts w:hint="eastAsia" w:ascii="Times New Roman" w:hAnsi="Times New Roman" w:cs="Times New Roman"/>
                <w:szCs w:val="21"/>
                <w:highlight w:val="none"/>
                <w:lang w:val="en-US" w:eastAsia="zh-CN"/>
              </w:rPr>
              <w:t>3</w:t>
            </w:r>
            <w:r>
              <w:rPr>
                <w:rFonts w:ascii="Times New Roman" w:hAnsi="Times New Roman" w:cs="Times New Roman"/>
                <w:szCs w:val="21"/>
                <w:highlight w:val="none"/>
              </w:rPr>
              <w:t>分）</w:t>
            </w:r>
          </w:p>
        </w:tc>
        <w:tc>
          <w:tcPr>
            <w:tcW w:w="5372" w:type="dxa"/>
            <w:gridSpan w:val="2"/>
            <w:tcBorders>
              <w:top w:val="single" w:color="000000" w:sz="4" w:space="0"/>
              <w:left w:val="nil"/>
              <w:bottom w:val="single" w:color="auto" w:sz="4" w:space="0"/>
              <w:right w:val="single" w:color="000000" w:sz="4" w:space="0"/>
            </w:tcBorders>
            <w:vAlign w:val="center"/>
          </w:tcPr>
          <w:p w14:paraId="5D9274B8">
            <w:pPr>
              <w:spacing w:line="360" w:lineRule="auto"/>
              <w:jc w:val="left"/>
              <w:rPr>
                <w:rFonts w:ascii="Times New Roman" w:hAnsi="Times New Roman" w:cs="Times New Roman"/>
                <w:highlight w:val="none"/>
              </w:rPr>
            </w:pPr>
            <w:r>
              <w:rPr>
                <w:rFonts w:hint="eastAsia" w:ascii="宋体" w:hAnsi="宋体" w:eastAsia="宋体" w:cs="宋体"/>
                <w:color w:val="auto"/>
                <w:szCs w:val="21"/>
                <w:highlight w:val="none"/>
              </w:rPr>
              <w:t>质量管理体系与措施是否详尽、合理，重要部位控制措施是否满足工程需要，目标质量控制是否满足</w:t>
            </w:r>
            <w:r>
              <w:rPr>
                <w:rFonts w:hint="eastAsia" w:ascii="宋体" w:hAnsi="宋体" w:cs="宋体"/>
                <w:color w:val="auto"/>
                <w:szCs w:val="21"/>
                <w:highlight w:val="none"/>
                <w:lang w:val="en-US" w:eastAsia="zh-CN"/>
              </w:rPr>
              <w:t>比选</w:t>
            </w:r>
            <w:r>
              <w:rPr>
                <w:rFonts w:hint="eastAsia" w:ascii="宋体" w:hAnsi="宋体" w:eastAsia="宋体" w:cs="宋体"/>
                <w:color w:val="auto"/>
                <w:szCs w:val="21"/>
                <w:highlight w:val="none"/>
              </w:rPr>
              <w:t>文件规定，</w:t>
            </w:r>
            <w:r>
              <w:rPr>
                <w:rFonts w:hint="eastAsia" w:ascii="宋体" w:hAnsi="宋体" w:cs="宋体"/>
                <w:color w:val="auto"/>
                <w:szCs w:val="21"/>
                <w:highlight w:val="none"/>
                <w:lang w:val="en-US" w:eastAsia="zh-CN"/>
              </w:rPr>
              <w:t>好</w:t>
            </w:r>
            <w:r>
              <w:rPr>
                <w:rFonts w:hint="eastAsia" w:ascii="宋体" w:hAnsi="宋体" w:eastAsia="宋体" w:cs="宋体"/>
                <w:color w:val="auto"/>
                <w:szCs w:val="21"/>
                <w:highlight w:val="none"/>
              </w:rPr>
              <w:t>：</w:t>
            </w:r>
            <w:r>
              <w:rPr>
                <w:rFonts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w:t>
            </w:r>
            <w:r>
              <w:rPr>
                <w:rFonts w:ascii="宋体" w:hAnsi="宋体" w:eastAsia="宋体" w:cs="宋体"/>
                <w:color w:val="auto"/>
                <w:szCs w:val="21"/>
                <w:highlight w:val="none"/>
              </w:rPr>
              <w:t>-3.0</w:t>
            </w:r>
            <w:r>
              <w:rPr>
                <w:rFonts w:hint="eastAsia" w:ascii="宋体" w:hAnsi="宋体" w:eastAsia="宋体" w:cs="宋体"/>
                <w:color w:val="auto"/>
                <w:szCs w:val="21"/>
                <w:highlight w:val="none"/>
              </w:rPr>
              <w:t>分；一般：1.8</w:t>
            </w:r>
            <w:r>
              <w:rPr>
                <w:rFonts w:ascii="宋体" w:hAnsi="宋体" w:eastAsia="宋体" w:cs="宋体"/>
                <w:color w:val="auto"/>
                <w:szCs w:val="21"/>
                <w:highlight w:val="none"/>
              </w:rPr>
              <w:t>-</w:t>
            </w:r>
            <w:r>
              <w:rPr>
                <w:rFonts w:hint="eastAsia" w:ascii="宋体" w:hAnsi="宋体" w:eastAsia="宋体" w:cs="宋体"/>
                <w:color w:val="auto"/>
                <w:szCs w:val="21"/>
                <w:highlight w:val="none"/>
              </w:rPr>
              <w:t>2.0分，未提供不得分。注：保留一位小数。</w:t>
            </w:r>
          </w:p>
        </w:tc>
      </w:tr>
      <w:tr w14:paraId="0E84FDB1">
        <w:tblPrEx>
          <w:tblCellMar>
            <w:top w:w="0" w:type="dxa"/>
            <w:left w:w="108" w:type="dxa"/>
            <w:bottom w:w="0" w:type="dxa"/>
            <w:right w:w="108" w:type="dxa"/>
          </w:tblCellMar>
        </w:tblPrEx>
        <w:trPr>
          <w:gridAfter w:val="1"/>
          <w:wAfter w:w="9" w:type="dxa"/>
          <w:trHeight w:val="661" w:hRule="atLeast"/>
          <w:jc w:val="center"/>
        </w:trPr>
        <w:tc>
          <w:tcPr>
            <w:tcW w:w="851" w:type="dxa"/>
            <w:vMerge w:val="continue"/>
            <w:tcBorders>
              <w:left w:val="single" w:color="auto" w:sz="4" w:space="0"/>
              <w:right w:val="single" w:color="auto" w:sz="4" w:space="0"/>
            </w:tcBorders>
            <w:vAlign w:val="center"/>
          </w:tcPr>
          <w:p w14:paraId="7AE1909A">
            <w:pPr>
              <w:spacing w:line="360" w:lineRule="auto"/>
              <w:jc w:val="left"/>
              <w:rPr>
                <w:rFonts w:ascii="Times New Roman" w:hAnsi="Times New Roman" w:cs="Times New Roman"/>
                <w:highlight w:val="none"/>
              </w:rPr>
            </w:pPr>
          </w:p>
        </w:tc>
        <w:tc>
          <w:tcPr>
            <w:tcW w:w="1693" w:type="dxa"/>
            <w:vMerge w:val="continue"/>
            <w:tcBorders>
              <w:left w:val="single" w:color="auto" w:sz="4" w:space="0"/>
              <w:right w:val="single" w:color="auto" w:sz="4" w:space="0"/>
            </w:tcBorders>
            <w:vAlign w:val="center"/>
          </w:tcPr>
          <w:p w14:paraId="3C650D48">
            <w:pPr>
              <w:spacing w:line="360" w:lineRule="auto"/>
              <w:jc w:val="left"/>
              <w:rPr>
                <w:rFonts w:ascii="Times New Roman" w:hAnsi="Times New Roman" w:cs="Times New Roman"/>
                <w:highlight w:val="none"/>
              </w:rPr>
            </w:pPr>
          </w:p>
        </w:tc>
        <w:tc>
          <w:tcPr>
            <w:tcW w:w="1923" w:type="dxa"/>
            <w:tcBorders>
              <w:top w:val="single" w:color="000000" w:sz="4" w:space="0"/>
              <w:left w:val="nil"/>
              <w:bottom w:val="single" w:color="auto" w:sz="4" w:space="0"/>
              <w:right w:val="single" w:color="000000" w:sz="4" w:space="0"/>
            </w:tcBorders>
            <w:vAlign w:val="center"/>
          </w:tcPr>
          <w:p w14:paraId="49932C2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安全管理体系与措施</w:t>
            </w:r>
            <w:r>
              <w:rPr>
                <w:rFonts w:ascii="Times New Roman" w:hAnsi="Times New Roman" w:cs="Times New Roman"/>
                <w:szCs w:val="21"/>
                <w:highlight w:val="none"/>
              </w:rPr>
              <w:t>（</w:t>
            </w:r>
            <w:r>
              <w:rPr>
                <w:rFonts w:hint="eastAsia" w:ascii="Times New Roman" w:hAnsi="Times New Roman" w:cs="Times New Roman"/>
                <w:szCs w:val="21"/>
                <w:highlight w:val="none"/>
              </w:rPr>
              <w:t>3</w:t>
            </w:r>
            <w:r>
              <w:rPr>
                <w:rFonts w:ascii="Times New Roman" w:hAnsi="Times New Roman" w:cs="Times New Roman"/>
                <w:szCs w:val="21"/>
                <w:highlight w:val="none"/>
              </w:rPr>
              <w:t>分）</w:t>
            </w:r>
          </w:p>
        </w:tc>
        <w:tc>
          <w:tcPr>
            <w:tcW w:w="5372" w:type="dxa"/>
            <w:gridSpan w:val="2"/>
            <w:tcBorders>
              <w:top w:val="single" w:color="000000" w:sz="4" w:space="0"/>
              <w:left w:val="nil"/>
              <w:bottom w:val="single" w:color="auto" w:sz="4" w:space="0"/>
              <w:right w:val="single" w:color="000000" w:sz="4" w:space="0"/>
            </w:tcBorders>
            <w:vAlign w:val="center"/>
          </w:tcPr>
          <w:p w14:paraId="044FA94D">
            <w:pPr>
              <w:spacing w:line="360" w:lineRule="auto"/>
              <w:jc w:val="left"/>
              <w:rPr>
                <w:rFonts w:ascii="Times New Roman" w:hAnsi="Times New Roman" w:cs="Times New Roman"/>
                <w:szCs w:val="21"/>
                <w:highlight w:val="none"/>
              </w:rPr>
            </w:pPr>
            <w:r>
              <w:rPr>
                <w:rFonts w:hint="eastAsia" w:ascii="宋体" w:hAnsi="宋体" w:eastAsia="宋体" w:cs="宋体"/>
                <w:color w:val="auto"/>
                <w:szCs w:val="21"/>
                <w:highlight w:val="none"/>
              </w:rPr>
              <w:t>安全管理体系和措施是否健全、详尽、合理，是否满足本工程有关</w:t>
            </w:r>
            <w:r>
              <w:rPr>
                <w:rFonts w:hint="eastAsia" w:ascii="宋体" w:hAnsi="宋体" w:eastAsia="宋体" w:cs="宋体"/>
                <w:color w:val="auto"/>
                <w:szCs w:val="21"/>
                <w:highlight w:val="none"/>
                <w:lang w:val="en-US" w:eastAsia="zh-CN"/>
              </w:rPr>
              <w:t>安全目标和</w:t>
            </w:r>
            <w:r>
              <w:rPr>
                <w:rFonts w:hint="eastAsia" w:ascii="宋体" w:hAnsi="宋体" w:eastAsia="宋体" w:cs="宋体"/>
                <w:color w:val="auto"/>
                <w:szCs w:val="21"/>
                <w:highlight w:val="none"/>
              </w:rPr>
              <w:t>安全要求的规定，</w:t>
            </w:r>
            <w:r>
              <w:rPr>
                <w:rFonts w:hint="eastAsia" w:ascii="宋体" w:hAnsi="宋体" w:cs="宋体"/>
                <w:color w:val="auto"/>
                <w:szCs w:val="21"/>
                <w:highlight w:val="none"/>
                <w:lang w:val="en-US" w:eastAsia="zh-CN"/>
              </w:rPr>
              <w:t>好</w:t>
            </w:r>
            <w:r>
              <w:rPr>
                <w:rFonts w:hint="eastAsia" w:ascii="宋体" w:hAnsi="宋体" w:eastAsia="宋体" w:cs="宋体"/>
                <w:color w:val="auto"/>
                <w:szCs w:val="21"/>
                <w:highlight w:val="none"/>
              </w:rPr>
              <w:t>：</w:t>
            </w:r>
            <w:r>
              <w:rPr>
                <w:rFonts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w:t>
            </w:r>
            <w:r>
              <w:rPr>
                <w:rFonts w:ascii="宋体" w:hAnsi="宋体" w:eastAsia="宋体" w:cs="宋体"/>
                <w:color w:val="auto"/>
                <w:szCs w:val="21"/>
                <w:highlight w:val="none"/>
              </w:rPr>
              <w:t>-3.0</w:t>
            </w:r>
            <w:r>
              <w:rPr>
                <w:rFonts w:hint="eastAsia" w:ascii="宋体" w:hAnsi="宋体" w:eastAsia="宋体" w:cs="宋体"/>
                <w:color w:val="auto"/>
                <w:szCs w:val="21"/>
                <w:highlight w:val="none"/>
              </w:rPr>
              <w:t>分；一般：1.8</w:t>
            </w:r>
            <w:r>
              <w:rPr>
                <w:rFonts w:ascii="宋体" w:hAnsi="宋体" w:eastAsia="宋体" w:cs="宋体"/>
                <w:color w:val="auto"/>
                <w:szCs w:val="21"/>
                <w:highlight w:val="none"/>
              </w:rPr>
              <w:t>-</w:t>
            </w:r>
            <w:r>
              <w:rPr>
                <w:rFonts w:hint="eastAsia" w:ascii="宋体" w:hAnsi="宋体" w:eastAsia="宋体" w:cs="宋体"/>
                <w:color w:val="auto"/>
                <w:szCs w:val="21"/>
                <w:highlight w:val="none"/>
              </w:rPr>
              <w:t>2.0分，未提供不得分。注：保留一位小数。</w:t>
            </w:r>
          </w:p>
        </w:tc>
      </w:tr>
      <w:tr w14:paraId="3DA7360F">
        <w:tblPrEx>
          <w:tblCellMar>
            <w:top w:w="0" w:type="dxa"/>
            <w:left w:w="108" w:type="dxa"/>
            <w:bottom w:w="0" w:type="dxa"/>
            <w:right w:w="108" w:type="dxa"/>
          </w:tblCellMar>
        </w:tblPrEx>
        <w:trPr>
          <w:gridAfter w:val="1"/>
          <w:wAfter w:w="9" w:type="dxa"/>
          <w:trHeight w:val="661" w:hRule="atLeast"/>
          <w:jc w:val="center"/>
        </w:trPr>
        <w:tc>
          <w:tcPr>
            <w:tcW w:w="851" w:type="dxa"/>
            <w:vMerge w:val="continue"/>
            <w:tcBorders>
              <w:left w:val="single" w:color="auto" w:sz="4" w:space="0"/>
              <w:right w:val="single" w:color="auto" w:sz="4" w:space="0"/>
            </w:tcBorders>
            <w:vAlign w:val="center"/>
          </w:tcPr>
          <w:p w14:paraId="7C605B5A">
            <w:pPr>
              <w:spacing w:line="360" w:lineRule="auto"/>
              <w:jc w:val="left"/>
              <w:rPr>
                <w:rFonts w:ascii="Times New Roman" w:hAnsi="Times New Roman" w:cs="Times New Roman"/>
                <w:highlight w:val="none"/>
              </w:rPr>
            </w:pPr>
          </w:p>
        </w:tc>
        <w:tc>
          <w:tcPr>
            <w:tcW w:w="1693" w:type="dxa"/>
            <w:vMerge w:val="continue"/>
            <w:tcBorders>
              <w:left w:val="single" w:color="auto" w:sz="4" w:space="0"/>
              <w:right w:val="single" w:color="auto" w:sz="4" w:space="0"/>
            </w:tcBorders>
            <w:vAlign w:val="center"/>
          </w:tcPr>
          <w:p w14:paraId="1637F1E8">
            <w:pPr>
              <w:spacing w:line="360" w:lineRule="auto"/>
              <w:jc w:val="left"/>
              <w:rPr>
                <w:rFonts w:ascii="Times New Roman" w:hAnsi="Times New Roman" w:cs="Times New Roman"/>
                <w:highlight w:val="none"/>
              </w:rPr>
            </w:pPr>
          </w:p>
        </w:tc>
        <w:tc>
          <w:tcPr>
            <w:tcW w:w="1923" w:type="dxa"/>
            <w:tcBorders>
              <w:top w:val="single" w:color="000000" w:sz="4" w:space="0"/>
              <w:left w:val="nil"/>
              <w:bottom w:val="single" w:color="auto" w:sz="4" w:space="0"/>
              <w:right w:val="single" w:color="000000" w:sz="4" w:space="0"/>
            </w:tcBorders>
            <w:vAlign w:val="center"/>
          </w:tcPr>
          <w:p w14:paraId="4D8A82D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环保与文明施工计划</w:t>
            </w:r>
            <w:r>
              <w:rPr>
                <w:rFonts w:hint="eastAsia" w:ascii="宋体" w:hAnsi="宋体" w:eastAsia="宋体" w:cs="宋体"/>
                <w:color w:val="auto"/>
                <w:szCs w:val="21"/>
                <w:highlight w:val="none"/>
              </w:rPr>
              <w:t>与措施</w:t>
            </w:r>
            <w:r>
              <w:rPr>
                <w:rFonts w:ascii="Times New Roman" w:hAnsi="Times New Roman" w:cs="Times New Roman"/>
                <w:szCs w:val="21"/>
                <w:highlight w:val="none"/>
              </w:rPr>
              <w:t>（</w:t>
            </w:r>
            <w:r>
              <w:rPr>
                <w:rFonts w:hint="eastAsia" w:ascii="Times New Roman" w:hAnsi="Times New Roman" w:cs="Times New Roman"/>
                <w:szCs w:val="21"/>
                <w:highlight w:val="none"/>
              </w:rPr>
              <w:t>3</w:t>
            </w:r>
            <w:r>
              <w:rPr>
                <w:rFonts w:ascii="Times New Roman" w:hAnsi="Times New Roman" w:cs="Times New Roman"/>
                <w:szCs w:val="21"/>
                <w:highlight w:val="none"/>
              </w:rPr>
              <w:t>分）</w:t>
            </w:r>
          </w:p>
        </w:tc>
        <w:tc>
          <w:tcPr>
            <w:tcW w:w="5372" w:type="dxa"/>
            <w:gridSpan w:val="2"/>
            <w:tcBorders>
              <w:top w:val="single" w:color="000000" w:sz="4" w:space="0"/>
              <w:left w:val="nil"/>
              <w:bottom w:val="single" w:color="auto" w:sz="4" w:space="0"/>
              <w:right w:val="single" w:color="000000" w:sz="4" w:space="0"/>
            </w:tcBorders>
            <w:vAlign w:val="center"/>
          </w:tcPr>
          <w:p w14:paraId="0B638179">
            <w:pPr>
              <w:spacing w:line="360" w:lineRule="auto"/>
              <w:jc w:val="left"/>
              <w:rPr>
                <w:rFonts w:ascii="Times New Roman" w:hAnsi="Times New Roman" w:cs="Times New Roman"/>
                <w:szCs w:val="21"/>
                <w:highlight w:val="none"/>
              </w:rPr>
            </w:pPr>
            <w:r>
              <w:rPr>
                <w:rFonts w:hint="eastAsia" w:ascii="宋体" w:hAnsi="宋体" w:eastAsia="宋体" w:cs="宋体"/>
                <w:color w:val="auto"/>
                <w:szCs w:val="21"/>
                <w:highlight w:val="none"/>
                <w:lang w:val="en-US" w:eastAsia="zh-CN"/>
              </w:rPr>
              <w:t>环保与文明施工计划</w:t>
            </w:r>
            <w:r>
              <w:rPr>
                <w:rFonts w:hint="eastAsia" w:ascii="宋体" w:hAnsi="宋体" w:eastAsia="宋体" w:cs="宋体"/>
                <w:color w:val="auto"/>
                <w:szCs w:val="21"/>
                <w:highlight w:val="none"/>
              </w:rPr>
              <w:t>与措施是否详尽、合理，是否满足本工程有关</w:t>
            </w:r>
            <w:r>
              <w:rPr>
                <w:rFonts w:hint="eastAsia" w:ascii="宋体" w:hAnsi="宋体" w:eastAsia="宋体" w:cs="宋体"/>
                <w:color w:val="auto"/>
                <w:szCs w:val="21"/>
                <w:highlight w:val="none"/>
                <w:lang w:val="en-US" w:eastAsia="zh-CN"/>
              </w:rPr>
              <w:t>文明施工</w:t>
            </w:r>
            <w:r>
              <w:rPr>
                <w:rFonts w:hint="eastAsia" w:ascii="宋体" w:hAnsi="宋体" w:eastAsia="宋体" w:cs="宋体"/>
                <w:color w:val="auto"/>
                <w:szCs w:val="21"/>
                <w:highlight w:val="none"/>
              </w:rPr>
              <w:t>要求的规定，</w:t>
            </w:r>
            <w:r>
              <w:rPr>
                <w:rFonts w:hint="eastAsia" w:ascii="宋体" w:hAnsi="宋体" w:eastAsia="宋体" w:cs="宋体"/>
                <w:color w:val="auto"/>
                <w:szCs w:val="21"/>
                <w:highlight w:val="none"/>
                <w:lang w:val="en-US" w:eastAsia="zh-CN"/>
              </w:rPr>
              <w:t>内容应包含</w:t>
            </w:r>
            <w:r>
              <w:rPr>
                <w:rFonts w:hint="default" w:ascii="宋体" w:hAnsi="宋体" w:eastAsia="宋体" w:cs="宋体"/>
                <w:color w:val="auto"/>
                <w:szCs w:val="21"/>
                <w:highlight w:val="none"/>
              </w:rPr>
              <w:t>施工弃渣的处理措施</w:t>
            </w:r>
            <w:r>
              <w:rPr>
                <w:rFonts w:hint="eastAsia" w:ascii="宋体" w:hAnsi="宋体" w:eastAsia="宋体" w:cs="宋体"/>
                <w:color w:val="auto"/>
                <w:szCs w:val="21"/>
                <w:highlight w:val="none"/>
                <w:lang w:eastAsia="zh-CN"/>
              </w:rPr>
              <w:t>，</w:t>
            </w:r>
            <w:r>
              <w:rPr>
                <w:rFonts w:hint="eastAsia" w:ascii="宋体" w:hAnsi="宋体" w:cs="宋体"/>
                <w:color w:val="auto"/>
                <w:szCs w:val="21"/>
                <w:highlight w:val="none"/>
                <w:lang w:val="en-US" w:eastAsia="zh-CN"/>
              </w:rPr>
              <w:t>好</w:t>
            </w: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w:t>
            </w:r>
            <w:r>
              <w:rPr>
                <w:rFonts w:ascii="宋体" w:hAnsi="宋体" w:eastAsia="宋体" w:cs="宋体"/>
                <w:color w:val="auto"/>
                <w:szCs w:val="21"/>
                <w:highlight w:val="none"/>
              </w:rPr>
              <w:t>-3.0</w:t>
            </w:r>
            <w:r>
              <w:rPr>
                <w:rFonts w:hint="eastAsia" w:ascii="宋体" w:hAnsi="宋体" w:eastAsia="宋体" w:cs="宋体"/>
                <w:color w:val="auto"/>
                <w:szCs w:val="21"/>
                <w:highlight w:val="none"/>
              </w:rPr>
              <w:t>分；一般：1.8</w:t>
            </w:r>
            <w:r>
              <w:rPr>
                <w:rFonts w:ascii="宋体" w:hAnsi="宋体" w:eastAsia="宋体" w:cs="宋体"/>
                <w:color w:val="auto"/>
                <w:szCs w:val="21"/>
                <w:highlight w:val="none"/>
              </w:rPr>
              <w:t>-</w:t>
            </w:r>
            <w:r>
              <w:rPr>
                <w:rFonts w:hint="eastAsia" w:ascii="宋体" w:hAnsi="宋体" w:eastAsia="宋体" w:cs="宋体"/>
                <w:color w:val="auto"/>
                <w:szCs w:val="21"/>
                <w:highlight w:val="none"/>
              </w:rPr>
              <w:t>2.0分，未提供不得分。注：保留一位小数。</w:t>
            </w:r>
          </w:p>
        </w:tc>
      </w:tr>
      <w:tr w14:paraId="3E2F09F0">
        <w:tblPrEx>
          <w:tblCellMar>
            <w:top w:w="0" w:type="dxa"/>
            <w:left w:w="108" w:type="dxa"/>
            <w:bottom w:w="0" w:type="dxa"/>
            <w:right w:w="108" w:type="dxa"/>
          </w:tblCellMar>
        </w:tblPrEx>
        <w:trPr>
          <w:gridAfter w:val="1"/>
          <w:wAfter w:w="9" w:type="dxa"/>
          <w:trHeight w:val="661" w:hRule="atLeast"/>
          <w:jc w:val="center"/>
        </w:trPr>
        <w:tc>
          <w:tcPr>
            <w:tcW w:w="851" w:type="dxa"/>
            <w:vMerge w:val="continue"/>
            <w:tcBorders>
              <w:left w:val="single" w:color="auto" w:sz="4" w:space="0"/>
              <w:right w:val="single" w:color="auto" w:sz="4" w:space="0"/>
            </w:tcBorders>
            <w:vAlign w:val="center"/>
          </w:tcPr>
          <w:p w14:paraId="5C78B4ED">
            <w:pPr>
              <w:spacing w:line="360" w:lineRule="auto"/>
              <w:jc w:val="left"/>
              <w:rPr>
                <w:rFonts w:ascii="Times New Roman" w:hAnsi="Times New Roman" w:cs="Times New Roman"/>
                <w:highlight w:val="none"/>
              </w:rPr>
            </w:pPr>
          </w:p>
        </w:tc>
        <w:tc>
          <w:tcPr>
            <w:tcW w:w="1693" w:type="dxa"/>
            <w:vMerge w:val="continue"/>
            <w:tcBorders>
              <w:left w:val="single" w:color="auto" w:sz="4" w:space="0"/>
              <w:right w:val="single" w:color="auto" w:sz="4" w:space="0"/>
            </w:tcBorders>
            <w:vAlign w:val="center"/>
          </w:tcPr>
          <w:p w14:paraId="78070DCD">
            <w:pPr>
              <w:spacing w:line="360" w:lineRule="auto"/>
              <w:jc w:val="left"/>
              <w:rPr>
                <w:rFonts w:ascii="Times New Roman" w:hAnsi="Times New Roman" w:cs="Times New Roman"/>
                <w:highlight w:val="none"/>
              </w:rPr>
            </w:pPr>
          </w:p>
        </w:tc>
        <w:tc>
          <w:tcPr>
            <w:tcW w:w="1923" w:type="dxa"/>
            <w:tcBorders>
              <w:top w:val="single" w:color="000000" w:sz="4" w:space="0"/>
              <w:left w:val="nil"/>
              <w:bottom w:val="single" w:color="auto" w:sz="4" w:space="0"/>
              <w:right w:val="single" w:color="000000" w:sz="4" w:space="0"/>
            </w:tcBorders>
            <w:vAlign w:val="center"/>
          </w:tcPr>
          <w:p w14:paraId="4D7A3369">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工程进度计划与措施</w:t>
            </w:r>
            <w:r>
              <w:rPr>
                <w:rFonts w:ascii="Times New Roman" w:hAnsi="Times New Roman" w:cs="Times New Roman"/>
                <w:szCs w:val="21"/>
                <w:highlight w:val="none"/>
              </w:rPr>
              <w:t>（</w:t>
            </w:r>
            <w:r>
              <w:rPr>
                <w:rFonts w:hint="eastAsia" w:ascii="Times New Roman" w:hAnsi="Times New Roman" w:cs="Times New Roman"/>
                <w:szCs w:val="21"/>
                <w:highlight w:val="none"/>
              </w:rPr>
              <w:t>3</w:t>
            </w:r>
            <w:r>
              <w:rPr>
                <w:rFonts w:ascii="Times New Roman" w:hAnsi="Times New Roman" w:cs="Times New Roman"/>
                <w:szCs w:val="21"/>
                <w:highlight w:val="none"/>
              </w:rPr>
              <w:t>分）</w:t>
            </w:r>
          </w:p>
        </w:tc>
        <w:tc>
          <w:tcPr>
            <w:tcW w:w="5372" w:type="dxa"/>
            <w:gridSpan w:val="2"/>
            <w:tcBorders>
              <w:top w:val="single" w:color="000000" w:sz="4" w:space="0"/>
              <w:left w:val="nil"/>
              <w:bottom w:val="single" w:color="auto" w:sz="4" w:space="0"/>
              <w:right w:val="single" w:color="000000" w:sz="4" w:space="0"/>
            </w:tcBorders>
            <w:vAlign w:val="center"/>
          </w:tcPr>
          <w:p w14:paraId="1B13B74A">
            <w:pPr>
              <w:spacing w:line="360" w:lineRule="auto"/>
              <w:jc w:val="left"/>
              <w:rPr>
                <w:rFonts w:ascii="Times New Roman" w:hAnsi="Times New Roman" w:cs="Times New Roman"/>
                <w:szCs w:val="21"/>
                <w:highlight w:val="none"/>
              </w:rPr>
            </w:pPr>
            <w:r>
              <w:rPr>
                <w:rFonts w:hint="eastAsia" w:ascii="宋体" w:hAnsi="宋体" w:eastAsia="宋体" w:cs="宋体"/>
                <w:color w:val="auto"/>
                <w:szCs w:val="21"/>
                <w:highlight w:val="none"/>
              </w:rPr>
              <w:t>总进度计划及施工进度控制是否切实可行，保证措施是否科学可靠，各阶段工期控制是否合理、均衡，网络图和横道图安排是否一致、有序，关键线路是否明确、清晰、严谨，</w:t>
            </w:r>
            <w:r>
              <w:rPr>
                <w:rFonts w:hint="eastAsia" w:ascii="宋体" w:hAnsi="宋体" w:cs="宋体"/>
                <w:color w:val="auto"/>
                <w:szCs w:val="21"/>
                <w:highlight w:val="none"/>
                <w:lang w:val="en-US" w:eastAsia="zh-CN"/>
              </w:rPr>
              <w:t>好</w:t>
            </w:r>
            <w:r>
              <w:rPr>
                <w:rFonts w:hint="eastAsia" w:ascii="宋体" w:hAnsi="宋体" w:eastAsia="宋体" w:cs="宋体"/>
                <w:color w:val="auto"/>
                <w:szCs w:val="21"/>
                <w:highlight w:val="none"/>
              </w:rPr>
              <w:t>：</w:t>
            </w:r>
            <w:r>
              <w:rPr>
                <w:rFonts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w:t>
            </w:r>
            <w:r>
              <w:rPr>
                <w:rFonts w:ascii="宋体" w:hAnsi="宋体" w:eastAsia="宋体" w:cs="宋体"/>
                <w:color w:val="auto"/>
                <w:szCs w:val="21"/>
                <w:highlight w:val="none"/>
              </w:rPr>
              <w:t>-3.0</w:t>
            </w:r>
            <w:r>
              <w:rPr>
                <w:rFonts w:hint="eastAsia" w:ascii="宋体" w:hAnsi="宋体" w:eastAsia="宋体" w:cs="宋体"/>
                <w:color w:val="auto"/>
                <w:szCs w:val="21"/>
                <w:highlight w:val="none"/>
              </w:rPr>
              <w:t>分；一般：1.8</w:t>
            </w:r>
            <w:r>
              <w:rPr>
                <w:rFonts w:ascii="宋体" w:hAnsi="宋体" w:eastAsia="宋体" w:cs="宋体"/>
                <w:color w:val="auto"/>
                <w:szCs w:val="21"/>
                <w:highlight w:val="none"/>
              </w:rPr>
              <w:t>-</w:t>
            </w:r>
            <w:r>
              <w:rPr>
                <w:rFonts w:hint="eastAsia" w:ascii="宋体" w:hAnsi="宋体" w:eastAsia="宋体" w:cs="宋体"/>
                <w:color w:val="auto"/>
                <w:szCs w:val="21"/>
                <w:highlight w:val="none"/>
              </w:rPr>
              <w:t>2.0分，未提供不得分。注：保留一位小数。</w:t>
            </w:r>
          </w:p>
        </w:tc>
      </w:tr>
      <w:tr w14:paraId="21140FB8">
        <w:tblPrEx>
          <w:tblCellMar>
            <w:top w:w="0" w:type="dxa"/>
            <w:left w:w="108" w:type="dxa"/>
            <w:bottom w:w="0" w:type="dxa"/>
            <w:right w:w="108" w:type="dxa"/>
          </w:tblCellMar>
        </w:tblPrEx>
        <w:trPr>
          <w:gridAfter w:val="1"/>
          <w:wAfter w:w="9" w:type="dxa"/>
          <w:trHeight w:val="661" w:hRule="atLeast"/>
          <w:jc w:val="center"/>
        </w:trPr>
        <w:tc>
          <w:tcPr>
            <w:tcW w:w="851" w:type="dxa"/>
            <w:vMerge w:val="continue"/>
            <w:tcBorders>
              <w:left w:val="single" w:color="auto" w:sz="4" w:space="0"/>
              <w:bottom w:val="single" w:color="auto" w:sz="4" w:space="0"/>
              <w:right w:val="single" w:color="auto" w:sz="4" w:space="0"/>
            </w:tcBorders>
            <w:vAlign w:val="center"/>
          </w:tcPr>
          <w:p w14:paraId="0B5B5DA6">
            <w:pPr>
              <w:spacing w:line="360" w:lineRule="auto"/>
              <w:jc w:val="left"/>
              <w:rPr>
                <w:rFonts w:ascii="Times New Roman" w:hAnsi="Times New Roman" w:cs="Times New Roman"/>
                <w:highlight w:val="none"/>
              </w:rPr>
            </w:pPr>
          </w:p>
        </w:tc>
        <w:tc>
          <w:tcPr>
            <w:tcW w:w="1693" w:type="dxa"/>
            <w:vMerge w:val="continue"/>
            <w:tcBorders>
              <w:left w:val="single" w:color="auto" w:sz="4" w:space="0"/>
              <w:bottom w:val="single" w:color="000000" w:sz="4" w:space="0"/>
              <w:right w:val="single" w:color="auto" w:sz="4" w:space="0"/>
            </w:tcBorders>
            <w:vAlign w:val="center"/>
          </w:tcPr>
          <w:p w14:paraId="7F8876A4">
            <w:pPr>
              <w:spacing w:line="360" w:lineRule="auto"/>
              <w:jc w:val="left"/>
              <w:rPr>
                <w:rFonts w:ascii="Times New Roman" w:hAnsi="Times New Roman" w:cs="Times New Roman"/>
                <w:highlight w:val="none"/>
              </w:rPr>
            </w:pPr>
          </w:p>
        </w:tc>
        <w:tc>
          <w:tcPr>
            <w:tcW w:w="1923" w:type="dxa"/>
            <w:tcBorders>
              <w:top w:val="single" w:color="000000" w:sz="4" w:space="0"/>
              <w:left w:val="nil"/>
              <w:bottom w:val="single" w:color="auto" w:sz="4" w:space="0"/>
              <w:right w:val="single" w:color="000000" w:sz="4" w:space="0"/>
            </w:tcBorders>
            <w:vAlign w:val="center"/>
          </w:tcPr>
          <w:p w14:paraId="7515C5C6">
            <w:pPr>
              <w:spacing w:line="36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资源配备计划</w:t>
            </w:r>
            <w:r>
              <w:rPr>
                <w:rFonts w:ascii="Times New Roman" w:hAnsi="Times New Roman" w:cs="Times New Roman"/>
                <w:szCs w:val="21"/>
                <w:highlight w:val="none"/>
              </w:rPr>
              <w:t>（</w:t>
            </w:r>
            <w:r>
              <w:rPr>
                <w:rFonts w:hint="eastAsia" w:ascii="Times New Roman" w:hAnsi="Times New Roman" w:cs="Times New Roman"/>
                <w:szCs w:val="21"/>
                <w:highlight w:val="none"/>
              </w:rPr>
              <w:t>3</w:t>
            </w:r>
            <w:r>
              <w:rPr>
                <w:rFonts w:ascii="Times New Roman" w:hAnsi="Times New Roman" w:cs="Times New Roman"/>
                <w:szCs w:val="21"/>
                <w:highlight w:val="none"/>
              </w:rPr>
              <w:t>分）</w:t>
            </w:r>
          </w:p>
        </w:tc>
        <w:tc>
          <w:tcPr>
            <w:tcW w:w="5372" w:type="dxa"/>
            <w:gridSpan w:val="2"/>
            <w:tcBorders>
              <w:top w:val="single" w:color="000000" w:sz="4" w:space="0"/>
              <w:left w:val="nil"/>
              <w:bottom w:val="single" w:color="auto" w:sz="4" w:space="0"/>
              <w:right w:val="single" w:color="000000" w:sz="4" w:space="0"/>
            </w:tcBorders>
            <w:vAlign w:val="center"/>
          </w:tcPr>
          <w:p w14:paraId="47C86631">
            <w:pPr>
              <w:spacing w:line="360" w:lineRule="auto"/>
              <w:jc w:val="left"/>
              <w:rPr>
                <w:rFonts w:ascii="Times New Roman" w:hAnsi="Times New Roman" w:cs="Times New Roman"/>
                <w:szCs w:val="21"/>
                <w:highlight w:val="none"/>
              </w:rPr>
            </w:pPr>
            <w:r>
              <w:rPr>
                <w:rFonts w:hint="eastAsia" w:ascii="宋体" w:hAnsi="宋体" w:eastAsia="宋体" w:cs="宋体"/>
                <w:color w:val="auto"/>
                <w:szCs w:val="21"/>
                <w:highlight w:val="none"/>
              </w:rPr>
              <w:t>结合项目实际情况对资源配备计划进行综合评审，</w:t>
            </w:r>
            <w:r>
              <w:rPr>
                <w:rFonts w:hint="eastAsia" w:ascii="宋体" w:hAnsi="宋体" w:cs="宋体"/>
                <w:color w:val="auto"/>
                <w:szCs w:val="21"/>
                <w:highlight w:val="none"/>
                <w:lang w:val="en-US" w:eastAsia="zh-CN"/>
              </w:rPr>
              <w:t>好</w:t>
            </w:r>
            <w:r>
              <w:rPr>
                <w:rFonts w:hint="eastAsia" w:ascii="宋体" w:hAnsi="宋体" w:eastAsia="宋体" w:cs="宋体"/>
                <w:color w:val="auto"/>
                <w:szCs w:val="21"/>
                <w:highlight w:val="none"/>
              </w:rPr>
              <w:t>：</w:t>
            </w:r>
            <w:r>
              <w:rPr>
                <w:rFonts w:ascii="宋体" w:hAnsi="宋体" w:eastAsia="宋体" w:cs="宋体"/>
                <w:color w:val="auto"/>
                <w:szCs w:val="21"/>
                <w:highlight w:val="none"/>
              </w:rPr>
              <w:t>2.</w:t>
            </w:r>
            <w:r>
              <w:rPr>
                <w:rFonts w:hint="eastAsia" w:ascii="宋体" w:hAnsi="宋体" w:eastAsia="宋体" w:cs="宋体"/>
                <w:color w:val="auto"/>
                <w:szCs w:val="21"/>
                <w:highlight w:val="none"/>
                <w:lang w:val="en-US" w:eastAsia="zh-CN"/>
              </w:rPr>
              <w:t>1</w:t>
            </w:r>
            <w:r>
              <w:rPr>
                <w:rFonts w:ascii="宋体" w:hAnsi="宋体" w:eastAsia="宋体" w:cs="宋体"/>
                <w:color w:val="auto"/>
                <w:szCs w:val="21"/>
                <w:highlight w:val="none"/>
              </w:rPr>
              <w:t>-3.0</w:t>
            </w:r>
            <w:r>
              <w:rPr>
                <w:rFonts w:hint="eastAsia" w:ascii="宋体" w:hAnsi="宋体" w:eastAsia="宋体" w:cs="宋体"/>
                <w:color w:val="auto"/>
                <w:szCs w:val="21"/>
                <w:highlight w:val="none"/>
              </w:rPr>
              <w:t>分；一般：1.8</w:t>
            </w:r>
            <w:r>
              <w:rPr>
                <w:rFonts w:ascii="宋体" w:hAnsi="宋体" w:eastAsia="宋体" w:cs="宋体"/>
                <w:color w:val="auto"/>
                <w:szCs w:val="21"/>
                <w:highlight w:val="none"/>
              </w:rPr>
              <w:t>-</w:t>
            </w:r>
            <w:r>
              <w:rPr>
                <w:rFonts w:hint="eastAsia" w:ascii="宋体" w:hAnsi="宋体" w:eastAsia="宋体" w:cs="宋体"/>
                <w:color w:val="auto"/>
                <w:szCs w:val="21"/>
                <w:highlight w:val="none"/>
              </w:rPr>
              <w:t>2.0分，未提供不得分。注：保留一位小数。</w:t>
            </w:r>
          </w:p>
        </w:tc>
      </w:tr>
      <w:tr w14:paraId="1BC7797A">
        <w:tblPrEx>
          <w:tblCellMar>
            <w:top w:w="0" w:type="dxa"/>
            <w:left w:w="108" w:type="dxa"/>
            <w:bottom w:w="0" w:type="dxa"/>
            <w:right w:w="108" w:type="dxa"/>
          </w:tblCellMar>
        </w:tblPrEx>
        <w:trPr>
          <w:gridAfter w:val="2"/>
          <w:wAfter w:w="20" w:type="dxa"/>
          <w:trHeight w:val="445" w:hRule="atLeast"/>
          <w:jc w:val="center"/>
        </w:trPr>
        <w:tc>
          <w:tcPr>
            <w:tcW w:w="851" w:type="dxa"/>
            <w:tcBorders>
              <w:top w:val="single" w:color="auto" w:sz="4" w:space="0"/>
              <w:left w:val="single" w:color="auto" w:sz="4" w:space="0"/>
              <w:bottom w:val="single" w:color="auto" w:sz="4" w:space="0"/>
              <w:right w:val="single" w:color="auto" w:sz="4" w:space="0"/>
            </w:tcBorders>
            <w:vAlign w:val="center"/>
          </w:tcPr>
          <w:p w14:paraId="5222CB6D">
            <w:pPr>
              <w:spacing w:line="360" w:lineRule="auto"/>
              <w:jc w:val="center"/>
              <w:rPr>
                <w:rFonts w:ascii="Times New Roman" w:hAnsi="Times New Roman" w:cs="Times New Roman"/>
                <w:color w:val="000000"/>
                <w:szCs w:val="21"/>
                <w:highlight w:val="none"/>
              </w:rPr>
            </w:pPr>
            <w:r>
              <w:rPr>
                <w:rFonts w:ascii="Times New Roman" w:hAnsi="Times New Roman" w:cs="Times New Roman"/>
                <w:szCs w:val="21"/>
                <w:highlight w:val="none"/>
              </w:rPr>
              <w:t>3.1.3</w:t>
            </w:r>
          </w:p>
        </w:tc>
        <w:tc>
          <w:tcPr>
            <w:tcW w:w="1693" w:type="dxa"/>
            <w:tcBorders>
              <w:top w:val="single" w:color="auto" w:sz="4" w:space="0"/>
              <w:left w:val="single" w:color="auto" w:sz="4" w:space="0"/>
              <w:bottom w:val="single" w:color="auto" w:sz="4" w:space="0"/>
              <w:right w:val="single" w:color="auto" w:sz="4" w:space="0"/>
            </w:tcBorders>
            <w:vAlign w:val="center"/>
          </w:tcPr>
          <w:p w14:paraId="2CC87CCC">
            <w:pPr>
              <w:spacing w:line="440" w:lineRule="exact"/>
              <w:jc w:val="center"/>
              <w:rPr>
                <w:rFonts w:ascii="Times New Roman" w:hAnsi="Times New Roman" w:cs="Times New Roman"/>
                <w:szCs w:val="21"/>
                <w:highlight w:val="none"/>
              </w:rPr>
            </w:pPr>
          </w:p>
          <w:p w14:paraId="4A918E13">
            <w:pPr>
              <w:spacing w:line="440" w:lineRule="exact"/>
              <w:jc w:val="center"/>
              <w:rPr>
                <w:rFonts w:ascii="Times New Roman" w:hAnsi="Times New Roman" w:cs="Times New Roman"/>
                <w:szCs w:val="21"/>
                <w:highlight w:val="none"/>
              </w:rPr>
            </w:pPr>
          </w:p>
          <w:p w14:paraId="0D2C5351">
            <w:pPr>
              <w:spacing w:line="440" w:lineRule="exact"/>
              <w:jc w:val="center"/>
              <w:rPr>
                <w:rFonts w:ascii="Times New Roman" w:hAnsi="Times New Roman" w:cs="Times New Roman"/>
                <w:szCs w:val="21"/>
                <w:highlight w:val="none"/>
              </w:rPr>
            </w:pPr>
            <w:r>
              <w:rPr>
                <w:rFonts w:hint="eastAsia" w:ascii="Times New Roman" w:hAnsi="Times New Roman" w:cs="Times New Roman"/>
                <w:szCs w:val="21"/>
                <w:highlight w:val="none"/>
              </w:rPr>
              <w:t>比选申请</w:t>
            </w:r>
            <w:r>
              <w:rPr>
                <w:rFonts w:ascii="Times New Roman" w:hAnsi="Times New Roman" w:cs="Times New Roman"/>
                <w:szCs w:val="21"/>
                <w:highlight w:val="none"/>
              </w:rPr>
              <w:t>报价</w:t>
            </w:r>
          </w:p>
          <w:p w14:paraId="45A2BD09">
            <w:pPr>
              <w:spacing w:line="440" w:lineRule="exact"/>
              <w:jc w:val="center"/>
              <w:rPr>
                <w:rFonts w:ascii="Times New Roman" w:hAnsi="Times New Roman" w:cs="Times New Roman"/>
                <w:szCs w:val="21"/>
                <w:highlight w:val="none"/>
              </w:rPr>
            </w:pPr>
            <w:r>
              <w:rPr>
                <w:rFonts w:ascii="Times New Roman" w:hAnsi="Times New Roman" w:cs="Times New Roman"/>
                <w:szCs w:val="21"/>
                <w:highlight w:val="none"/>
              </w:rPr>
              <w:t>评审标准（50分）</w:t>
            </w:r>
          </w:p>
          <w:p w14:paraId="5BF7538D">
            <w:pPr>
              <w:spacing w:line="440" w:lineRule="exact"/>
              <w:jc w:val="center"/>
              <w:rPr>
                <w:rFonts w:ascii="Times New Roman" w:hAnsi="Times New Roman" w:cs="Times New Roman"/>
                <w:szCs w:val="21"/>
                <w:highlight w:val="none"/>
              </w:rPr>
            </w:pPr>
          </w:p>
          <w:p w14:paraId="7236C654">
            <w:pPr>
              <w:spacing w:line="360" w:lineRule="auto"/>
              <w:jc w:val="center"/>
              <w:rPr>
                <w:rFonts w:ascii="Times New Roman" w:hAnsi="Times New Roman" w:cs="Times New Roman"/>
                <w:kern w:val="0"/>
                <w:szCs w:val="21"/>
                <w:highlight w:val="none"/>
              </w:rPr>
            </w:pPr>
          </w:p>
        </w:tc>
        <w:tc>
          <w:tcPr>
            <w:tcW w:w="7284" w:type="dxa"/>
            <w:gridSpan w:val="2"/>
            <w:tcBorders>
              <w:top w:val="single" w:color="auto" w:sz="4" w:space="0"/>
              <w:left w:val="single" w:color="auto" w:sz="4" w:space="0"/>
              <w:bottom w:val="single" w:color="auto" w:sz="4" w:space="0"/>
              <w:right w:val="single" w:color="auto" w:sz="4" w:space="0"/>
            </w:tcBorders>
            <w:vAlign w:val="center"/>
          </w:tcPr>
          <w:p w14:paraId="78BCDB0D">
            <w:pPr>
              <w:numPr>
                <w:ilvl w:val="0"/>
                <w:numId w:val="0"/>
              </w:numPr>
              <w:spacing w:line="360" w:lineRule="exact"/>
              <w:ind w:firstLine="420" w:firstLineChars="200"/>
              <w:jc w:val="left"/>
              <w:rPr>
                <w:rFonts w:hint="eastAsia" w:ascii="宋体" w:hAnsi="宋体" w:eastAsia="宋体" w:cs="宋体"/>
                <w:color w:val="auto"/>
                <w:szCs w:val="21"/>
                <w:highlight w:val="none"/>
              </w:rPr>
            </w:pPr>
            <w:r>
              <w:rPr>
                <w:rFonts w:hint="eastAsia" w:ascii="Times New Roman" w:hAnsi="Times New Roman" w:cs="Times New Roman"/>
                <w:color w:val="auto"/>
                <w:szCs w:val="21"/>
                <w:highlight w:val="none"/>
                <w:lang w:val="en-US" w:eastAsia="zh-CN"/>
              </w:rPr>
              <w:t>1、</w:t>
            </w:r>
            <w:r>
              <w:rPr>
                <w:rFonts w:ascii="Times New Roman" w:hAnsi="Times New Roman" w:cs="Times New Roman"/>
                <w:color w:val="auto"/>
                <w:szCs w:val="21"/>
                <w:highlight w:val="none"/>
              </w:rPr>
              <w:t>评审基准</w:t>
            </w:r>
            <w:r>
              <w:rPr>
                <w:rFonts w:hint="eastAsia" w:ascii="宋体" w:hAnsi="宋体" w:eastAsia="宋体" w:cs="宋体"/>
                <w:color w:val="auto"/>
                <w:szCs w:val="21"/>
                <w:highlight w:val="none"/>
              </w:rPr>
              <w:t>价的计算方式：</w:t>
            </w:r>
          </w:p>
          <w:p w14:paraId="4D17F9E0">
            <w:pPr>
              <w:pStyle w:val="25"/>
              <w:spacing w:line="480" w:lineRule="exact"/>
              <w:ind w:firstLine="420" w:firstLineChars="200"/>
              <w:jc w:val="both"/>
              <w:rPr>
                <w:rFonts w:hint="eastAsia" w:ascii="宋体" w:eastAsia="宋体" w:cs="宋体"/>
                <w:b w:val="0"/>
                <w:bCs w:val="0"/>
                <w:color w:val="auto"/>
                <w:kern w:val="2"/>
                <w:sz w:val="21"/>
                <w:highlight w:val="none"/>
              </w:rPr>
            </w:pPr>
            <w:r>
              <w:rPr>
                <w:rFonts w:hint="eastAsia" w:ascii="宋体" w:hAnsi="宋体" w:eastAsia="宋体" w:cs="宋体"/>
                <w:b w:val="0"/>
                <w:bCs w:val="0"/>
                <w:color w:val="auto"/>
                <w:kern w:val="2"/>
                <w:sz w:val="21"/>
                <w:highlight w:val="none"/>
                <w:lang w:eastAsia="zh-CN"/>
              </w:rPr>
              <w:t>（</w:t>
            </w:r>
            <w:r>
              <w:rPr>
                <w:rFonts w:hint="eastAsia" w:ascii="宋体" w:hAnsi="宋体" w:eastAsia="宋体" w:cs="宋体"/>
                <w:b w:val="0"/>
                <w:bCs w:val="0"/>
                <w:color w:val="auto"/>
                <w:kern w:val="2"/>
                <w:sz w:val="21"/>
                <w:highlight w:val="none"/>
                <w:lang w:val="en-US" w:eastAsia="zh-CN"/>
              </w:rPr>
              <w:t>1</w:t>
            </w:r>
            <w:r>
              <w:rPr>
                <w:rFonts w:hint="eastAsia" w:ascii="宋体" w:hAnsi="宋体" w:eastAsia="宋体" w:cs="宋体"/>
                <w:b w:val="0"/>
                <w:bCs w:val="0"/>
                <w:color w:val="auto"/>
                <w:kern w:val="2"/>
                <w:sz w:val="21"/>
                <w:highlight w:val="none"/>
                <w:lang w:eastAsia="zh-CN"/>
              </w:rPr>
              <w:t>）</w:t>
            </w:r>
            <w:r>
              <w:rPr>
                <w:rFonts w:hint="eastAsia" w:ascii="宋体" w:hAnsi="宋体" w:eastAsia="宋体" w:cs="宋体"/>
                <w:b w:val="0"/>
                <w:bCs w:val="0"/>
                <w:color w:val="auto"/>
                <w:kern w:val="2"/>
                <w:sz w:val="21"/>
                <w:highlight w:val="none"/>
              </w:rPr>
              <w:t>当</w:t>
            </w:r>
            <w:r>
              <w:rPr>
                <w:rFonts w:hint="eastAsia" w:ascii="宋体" w:hAnsi="宋体" w:eastAsia="宋体" w:cs="宋体"/>
                <w:b w:val="0"/>
                <w:bCs w:val="0"/>
                <w:color w:val="auto"/>
                <w:kern w:val="2"/>
                <w:sz w:val="21"/>
                <w:highlight w:val="none"/>
                <w:lang w:val="en-US" w:eastAsia="zh-CN"/>
              </w:rPr>
              <w:t>比选</w:t>
            </w:r>
            <w:r>
              <w:rPr>
                <w:rFonts w:hint="eastAsia" w:cs="宋体"/>
                <w:b w:val="0"/>
                <w:bCs w:val="0"/>
                <w:color w:val="auto"/>
                <w:kern w:val="2"/>
                <w:sz w:val="21"/>
                <w:highlight w:val="none"/>
                <w:lang w:val="en-US" w:eastAsia="zh-CN"/>
              </w:rPr>
              <w:t>申请</w:t>
            </w:r>
            <w:r>
              <w:rPr>
                <w:rFonts w:hint="eastAsia" w:ascii="宋体" w:eastAsia="宋体" w:cs="宋体"/>
                <w:b w:val="0"/>
                <w:bCs w:val="0"/>
                <w:color w:val="auto"/>
                <w:kern w:val="2"/>
                <w:sz w:val="21"/>
                <w:highlight w:val="none"/>
              </w:rPr>
              <w:t>人少于5家时，</w:t>
            </w:r>
            <w:r>
              <w:rPr>
                <w:rFonts w:hint="eastAsia" w:cs="宋体"/>
                <w:b w:val="0"/>
                <w:bCs w:val="0"/>
                <w:color w:val="auto"/>
                <w:kern w:val="2"/>
                <w:sz w:val="21"/>
                <w:highlight w:val="none"/>
                <w:lang w:eastAsia="zh-CN"/>
              </w:rPr>
              <w:t>评审</w:t>
            </w:r>
            <w:r>
              <w:rPr>
                <w:rFonts w:hint="eastAsia" w:ascii="宋体" w:eastAsia="宋体" w:cs="宋体"/>
                <w:b w:val="0"/>
                <w:bCs w:val="0"/>
                <w:color w:val="auto"/>
                <w:kern w:val="2"/>
                <w:sz w:val="21"/>
                <w:highlight w:val="none"/>
              </w:rPr>
              <w:t>基准价=所有有效</w:t>
            </w:r>
            <w:r>
              <w:rPr>
                <w:rFonts w:hint="eastAsia" w:cs="宋体"/>
                <w:b w:val="0"/>
                <w:bCs w:val="0"/>
                <w:color w:val="auto"/>
                <w:kern w:val="2"/>
                <w:sz w:val="21"/>
                <w:highlight w:val="none"/>
                <w:lang w:eastAsia="zh-CN"/>
              </w:rPr>
              <w:t>比选申请人</w:t>
            </w:r>
            <w:r>
              <w:rPr>
                <w:rFonts w:hint="eastAsia" w:ascii="宋体" w:eastAsia="宋体" w:cs="宋体"/>
                <w:b w:val="0"/>
                <w:bCs w:val="0"/>
                <w:color w:val="auto"/>
                <w:kern w:val="2"/>
                <w:sz w:val="21"/>
                <w:highlight w:val="none"/>
              </w:rPr>
              <w:t>的</w:t>
            </w:r>
            <w:r>
              <w:rPr>
                <w:rFonts w:hint="eastAsia" w:cs="宋体"/>
                <w:b w:val="0"/>
                <w:bCs w:val="0"/>
                <w:color w:val="auto"/>
                <w:kern w:val="2"/>
                <w:sz w:val="21"/>
                <w:highlight w:val="none"/>
                <w:lang w:val="en-US" w:eastAsia="zh-CN"/>
              </w:rPr>
              <w:t>比选申请</w:t>
            </w:r>
            <w:r>
              <w:rPr>
                <w:rFonts w:hint="eastAsia" w:ascii="宋体" w:eastAsia="宋体" w:cs="宋体"/>
                <w:b w:val="0"/>
                <w:bCs w:val="0"/>
                <w:color w:val="auto"/>
                <w:kern w:val="2"/>
                <w:sz w:val="21"/>
                <w:highlight w:val="none"/>
              </w:rPr>
              <w:t>报价的算术平均值。</w:t>
            </w:r>
          </w:p>
          <w:p w14:paraId="1BB64556">
            <w:pPr>
              <w:pStyle w:val="25"/>
              <w:spacing w:line="480" w:lineRule="exact"/>
              <w:ind w:firstLine="420" w:firstLineChars="200"/>
              <w:jc w:val="both"/>
              <w:rPr>
                <w:rFonts w:hint="eastAsia" w:ascii="宋体" w:eastAsia="宋体" w:cs="宋体"/>
                <w:b w:val="0"/>
                <w:bCs w:val="0"/>
                <w:color w:val="auto"/>
                <w:kern w:val="2"/>
                <w:sz w:val="21"/>
                <w:highlight w:val="none"/>
              </w:rPr>
            </w:pPr>
            <w:r>
              <w:rPr>
                <w:rFonts w:hint="eastAsia" w:cs="宋体"/>
                <w:b w:val="0"/>
                <w:bCs w:val="0"/>
                <w:color w:val="auto"/>
                <w:kern w:val="2"/>
                <w:sz w:val="21"/>
                <w:highlight w:val="none"/>
                <w:lang w:eastAsia="zh-CN"/>
              </w:rPr>
              <w:t>（</w:t>
            </w:r>
            <w:r>
              <w:rPr>
                <w:rFonts w:hint="eastAsia" w:cs="宋体"/>
                <w:b w:val="0"/>
                <w:bCs w:val="0"/>
                <w:color w:val="auto"/>
                <w:kern w:val="2"/>
                <w:sz w:val="21"/>
                <w:highlight w:val="none"/>
                <w:lang w:val="en-US" w:eastAsia="zh-CN"/>
              </w:rPr>
              <w:t>2</w:t>
            </w:r>
            <w:r>
              <w:rPr>
                <w:rFonts w:hint="eastAsia" w:cs="宋体"/>
                <w:b w:val="0"/>
                <w:bCs w:val="0"/>
                <w:color w:val="auto"/>
                <w:kern w:val="2"/>
                <w:sz w:val="21"/>
                <w:highlight w:val="none"/>
                <w:lang w:eastAsia="zh-CN"/>
              </w:rPr>
              <w:t>）</w:t>
            </w:r>
            <w:r>
              <w:rPr>
                <w:rFonts w:hint="eastAsia" w:ascii="宋体" w:eastAsia="宋体" w:cs="宋体"/>
                <w:b w:val="0"/>
                <w:bCs w:val="0"/>
                <w:color w:val="auto"/>
                <w:kern w:val="2"/>
                <w:sz w:val="21"/>
                <w:highlight w:val="none"/>
              </w:rPr>
              <w:t>当</w:t>
            </w:r>
            <w:r>
              <w:rPr>
                <w:rFonts w:hint="eastAsia" w:cs="宋体"/>
                <w:b w:val="0"/>
                <w:bCs w:val="0"/>
                <w:color w:val="auto"/>
                <w:kern w:val="2"/>
                <w:sz w:val="21"/>
                <w:highlight w:val="none"/>
                <w:lang w:eastAsia="zh-CN"/>
              </w:rPr>
              <w:t>比选申请人</w:t>
            </w:r>
            <w:r>
              <w:rPr>
                <w:rFonts w:hint="eastAsia" w:ascii="宋体" w:eastAsia="宋体" w:cs="宋体"/>
                <w:b w:val="0"/>
                <w:bCs w:val="0"/>
                <w:color w:val="auto"/>
                <w:kern w:val="2"/>
                <w:sz w:val="21"/>
                <w:highlight w:val="none"/>
              </w:rPr>
              <w:t>数大于或等于5家时，</w:t>
            </w:r>
            <w:r>
              <w:rPr>
                <w:rFonts w:hint="eastAsia" w:cs="宋体"/>
                <w:b w:val="0"/>
                <w:bCs w:val="0"/>
                <w:color w:val="auto"/>
                <w:kern w:val="2"/>
                <w:sz w:val="21"/>
                <w:highlight w:val="none"/>
                <w:lang w:eastAsia="zh-CN"/>
              </w:rPr>
              <w:t>评审</w:t>
            </w:r>
            <w:r>
              <w:rPr>
                <w:rFonts w:hint="eastAsia" w:ascii="宋体" w:eastAsia="宋体" w:cs="宋体"/>
                <w:b w:val="0"/>
                <w:bCs w:val="0"/>
                <w:color w:val="auto"/>
                <w:kern w:val="2"/>
                <w:sz w:val="21"/>
                <w:highlight w:val="none"/>
              </w:rPr>
              <w:t>基准价=去掉最高和最低报价的有效</w:t>
            </w:r>
            <w:r>
              <w:rPr>
                <w:rFonts w:hint="eastAsia" w:cs="宋体"/>
                <w:b w:val="0"/>
                <w:bCs w:val="0"/>
                <w:color w:val="auto"/>
                <w:kern w:val="2"/>
                <w:sz w:val="21"/>
                <w:highlight w:val="none"/>
                <w:lang w:eastAsia="zh-CN"/>
              </w:rPr>
              <w:t>比选申请人</w:t>
            </w:r>
            <w:r>
              <w:rPr>
                <w:rFonts w:hint="eastAsia" w:ascii="宋体" w:eastAsia="宋体" w:cs="宋体"/>
                <w:b w:val="0"/>
                <w:bCs w:val="0"/>
                <w:color w:val="auto"/>
                <w:kern w:val="2"/>
                <w:sz w:val="21"/>
                <w:highlight w:val="none"/>
              </w:rPr>
              <w:t>的</w:t>
            </w:r>
            <w:r>
              <w:rPr>
                <w:rFonts w:hint="eastAsia" w:cs="宋体"/>
                <w:b w:val="0"/>
                <w:bCs w:val="0"/>
                <w:color w:val="auto"/>
                <w:kern w:val="2"/>
                <w:sz w:val="21"/>
                <w:highlight w:val="none"/>
                <w:lang w:val="en-US" w:eastAsia="zh-CN"/>
              </w:rPr>
              <w:t>比选申请</w:t>
            </w:r>
            <w:r>
              <w:rPr>
                <w:rFonts w:hint="eastAsia" w:ascii="宋体" w:eastAsia="宋体" w:cs="宋体"/>
                <w:b w:val="0"/>
                <w:bCs w:val="0"/>
                <w:color w:val="auto"/>
                <w:kern w:val="2"/>
                <w:sz w:val="21"/>
                <w:highlight w:val="none"/>
              </w:rPr>
              <w:t>报价的</w:t>
            </w:r>
            <w:r>
              <w:rPr>
                <w:rFonts w:hint="eastAsia" w:cs="宋体"/>
                <w:b w:val="0"/>
                <w:bCs w:val="0"/>
                <w:color w:val="auto"/>
                <w:kern w:val="2"/>
                <w:sz w:val="21"/>
                <w:highlight w:val="none"/>
                <w:lang w:eastAsia="zh-CN"/>
              </w:rPr>
              <w:t>算术</w:t>
            </w:r>
            <w:r>
              <w:rPr>
                <w:rFonts w:hint="eastAsia" w:ascii="宋体" w:eastAsia="宋体" w:cs="宋体"/>
                <w:b w:val="0"/>
                <w:bCs w:val="0"/>
                <w:color w:val="auto"/>
                <w:kern w:val="2"/>
                <w:sz w:val="21"/>
                <w:highlight w:val="none"/>
              </w:rPr>
              <w:t>平均值。</w:t>
            </w:r>
          </w:p>
          <w:p w14:paraId="205C4F33">
            <w:pPr>
              <w:pStyle w:val="25"/>
              <w:spacing w:line="480" w:lineRule="exact"/>
              <w:ind w:firstLine="420" w:firstLineChars="200"/>
              <w:rPr>
                <w:rFonts w:hint="eastAsia" w:ascii="Times New Roman" w:hAnsi="Times New Roman" w:eastAsia="宋体" w:cs="Times New Roman"/>
                <w:color w:val="FF0000"/>
                <w:szCs w:val="21"/>
                <w:highlight w:val="none"/>
                <w:lang w:eastAsia="zh-CN"/>
              </w:rPr>
            </w:pPr>
            <w:r>
              <w:rPr>
                <w:rFonts w:ascii="Times New Roman" w:hAnsi="Times New Roman" w:cs="Times New Roman"/>
                <w:color w:val="auto"/>
                <w:highlight w:val="none"/>
              </w:rPr>
              <w:t>2、</w:t>
            </w:r>
            <w:r>
              <w:rPr>
                <w:rFonts w:hint="eastAsia" w:cs="Times New Roman"/>
                <w:color w:val="auto"/>
                <w:highlight w:val="none"/>
              </w:rPr>
              <w:t>比选申请</w:t>
            </w:r>
            <w:r>
              <w:rPr>
                <w:rFonts w:ascii="Times New Roman" w:hAnsi="Times New Roman" w:cs="Times New Roman"/>
                <w:color w:val="auto"/>
                <w:highlight w:val="none"/>
              </w:rPr>
              <w:t>报价偏差率=</w:t>
            </w:r>
            <w:r>
              <w:rPr>
                <w:rFonts w:hint="eastAsia" w:ascii="宋体" w:hAnsi="宋体"/>
                <w:color w:val="auto"/>
                <w:highlight w:val="none"/>
              </w:rPr>
              <w:t>偏差</w:t>
            </w:r>
            <w:r>
              <w:rPr>
                <w:rFonts w:hint="eastAsia" w:ascii="宋体" w:hAnsi="宋体"/>
                <w:color w:val="auto"/>
                <w:spacing w:val="-3"/>
                <w:highlight w:val="none"/>
              </w:rPr>
              <w:t>率</w:t>
            </w:r>
            <w:r>
              <w:rPr>
                <w:rFonts w:hint="eastAsia" w:ascii="宋体" w:hAnsi="宋体"/>
                <w:color w:val="auto"/>
                <w:highlight w:val="none"/>
              </w:rPr>
              <w:t>=100%</w:t>
            </w:r>
            <w:r>
              <w:rPr>
                <w:rFonts w:hint="eastAsia" w:ascii="宋体" w:hAnsi="宋体"/>
                <w:color w:val="auto"/>
                <w:spacing w:val="-3"/>
                <w:highlight w:val="none"/>
              </w:rPr>
              <w:t>×|（</w:t>
            </w:r>
            <w:r>
              <w:rPr>
                <w:rFonts w:hint="eastAsia"/>
                <w:color w:val="auto"/>
                <w:highlight w:val="none"/>
                <w:lang w:eastAsia="zh-CN"/>
              </w:rPr>
              <w:t>比选申请人评审</w:t>
            </w:r>
            <w:r>
              <w:rPr>
                <w:rFonts w:hint="eastAsia" w:ascii="宋体" w:hAnsi="宋体"/>
                <w:color w:val="auto"/>
                <w:spacing w:val="-3"/>
                <w:highlight w:val="none"/>
              </w:rPr>
              <w:t>价</w:t>
            </w:r>
            <w:r>
              <w:rPr>
                <w:rFonts w:hint="eastAsia" w:ascii="宋体" w:hAnsi="宋体"/>
                <w:color w:val="auto"/>
                <w:highlight w:val="none"/>
              </w:rPr>
              <w:t>－</w:t>
            </w:r>
            <w:r>
              <w:rPr>
                <w:rFonts w:hint="eastAsia"/>
                <w:color w:val="auto"/>
                <w:spacing w:val="-3"/>
                <w:highlight w:val="none"/>
                <w:lang w:eastAsia="zh-CN"/>
              </w:rPr>
              <w:t>评审</w:t>
            </w:r>
            <w:r>
              <w:rPr>
                <w:rFonts w:hint="eastAsia" w:ascii="宋体" w:hAnsi="宋体"/>
                <w:color w:val="auto"/>
                <w:spacing w:val="-3"/>
                <w:highlight w:val="none"/>
              </w:rPr>
              <w:t>基</w:t>
            </w:r>
            <w:r>
              <w:rPr>
                <w:rFonts w:hint="eastAsia" w:ascii="宋体" w:hAnsi="宋体"/>
                <w:color w:val="auto"/>
                <w:highlight w:val="none"/>
              </w:rPr>
              <w:t>准</w:t>
            </w:r>
            <w:r>
              <w:rPr>
                <w:rFonts w:hint="eastAsia" w:ascii="宋体" w:hAnsi="宋体"/>
                <w:color w:val="auto"/>
                <w:spacing w:val="-3"/>
                <w:highlight w:val="none"/>
              </w:rPr>
              <w:t>价</w:t>
            </w:r>
            <w:r>
              <w:rPr>
                <w:rFonts w:hint="eastAsia" w:ascii="宋体" w:hAnsi="宋体"/>
                <w:color w:val="auto"/>
                <w:highlight w:val="none"/>
              </w:rPr>
              <w:t>）|/</w:t>
            </w:r>
            <w:r>
              <w:rPr>
                <w:rFonts w:hint="eastAsia"/>
                <w:color w:val="auto"/>
                <w:spacing w:val="-3"/>
                <w:highlight w:val="none"/>
                <w:lang w:eastAsia="zh-CN"/>
              </w:rPr>
              <w:t>评审</w:t>
            </w:r>
            <w:r>
              <w:rPr>
                <w:rFonts w:hint="eastAsia" w:ascii="宋体" w:hAnsi="宋体"/>
                <w:color w:val="auto"/>
                <w:highlight w:val="none"/>
              </w:rPr>
              <w:t>基</w:t>
            </w:r>
            <w:r>
              <w:rPr>
                <w:rFonts w:hint="eastAsia" w:ascii="宋体" w:hAnsi="宋体"/>
                <w:color w:val="auto"/>
                <w:spacing w:val="-3"/>
                <w:highlight w:val="none"/>
              </w:rPr>
              <w:t>准</w:t>
            </w:r>
            <w:r>
              <w:rPr>
                <w:rFonts w:hint="eastAsia" w:ascii="宋体" w:hAnsi="宋体"/>
                <w:color w:val="auto"/>
                <w:highlight w:val="none"/>
              </w:rPr>
              <w:t>价，偏差</w:t>
            </w:r>
            <w:r>
              <w:rPr>
                <w:rFonts w:hint="eastAsia" w:ascii="宋体" w:hAnsi="宋体"/>
                <w:color w:val="auto"/>
                <w:spacing w:val="-3"/>
                <w:highlight w:val="none"/>
              </w:rPr>
              <w:t>率</w:t>
            </w:r>
            <w:r>
              <w:rPr>
                <w:rFonts w:hint="eastAsia" w:ascii="宋体" w:hAnsi="宋体"/>
                <w:color w:val="auto"/>
                <w:highlight w:val="none"/>
              </w:rPr>
              <w:t>保</w:t>
            </w:r>
            <w:r>
              <w:rPr>
                <w:rFonts w:hint="eastAsia" w:ascii="宋体" w:hAnsi="宋体"/>
                <w:color w:val="auto"/>
                <w:spacing w:val="-3"/>
                <w:highlight w:val="none"/>
              </w:rPr>
              <w:t>留</w:t>
            </w:r>
            <w:r>
              <w:rPr>
                <w:rFonts w:hint="eastAsia" w:ascii="宋体" w:hAnsi="宋体"/>
                <w:color w:val="auto"/>
                <w:spacing w:val="-3"/>
                <w:highlight w:val="none"/>
                <w:u w:val="single"/>
                <w:lang w:val="en-US" w:eastAsia="zh-CN"/>
              </w:rPr>
              <w:t>4</w:t>
            </w:r>
            <w:r>
              <w:rPr>
                <w:rFonts w:hint="eastAsia" w:ascii="宋体" w:hAnsi="宋体"/>
                <w:color w:val="auto"/>
                <w:highlight w:val="none"/>
              </w:rPr>
              <w:t>位</w:t>
            </w:r>
            <w:r>
              <w:rPr>
                <w:rFonts w:hint="eastAsia" w:ascii="宋体" w:hAnsi="宋体"/>
                <w:color w:val="auto"/>
                <w:spacing w:val="-3"/>
                <w:highlight w:val="none"/>
              </w:rPr>
              <w:t>小数</w:t>
            </w:r>
            <w:r>
              <w:rPr>
                <w:rFonts w:hint="eastAsia"/>
                <w:color w:val="auto"/>
                <w:highlight w:val="none"/>
                <w:lang w:eastAsia="zh-CN"/>
              </w:rPr>
              <w:t>。</w:t>
            </w:r>
          </w:p>
          <w:p w14:paraId="4ACBC606">
            <w:pPr>
              <w:pStyle w:val="25"/>
              <w:spacing w:line="480" w:lineRule="exact"/>
              <w:ind w:firstLine="420" w:firstLineChars="200"/>
              <w:rPr>
                <w:color w:val="auto"/>
                <w:szCs w:val="21"/>
                <w:highlight w:val="none"/>
              </w:rPr>
            </w:pPr>
            <w:r>
              <w:rPr>
                <w:color w:val="auto"/>
                <w:szCs w:val="21"/>
                <w:highlight w:val="none"/>
              </w:rPr>
              <w:t>3、</w:t>
            </w:r>
            <w:r>
              <w:rPr>
                <w:rFonts w:hint="eastAsia"/>
                <w:color w:val="auto"/>
                <w:szCs w:val="21"/>
                <w:highlight w:val="none"/>
              </w:rPr>
              <w:t>比选申请</w:t>
            </w:r>
            <w:r>
              <w:rPr>
                <w:color w:val="auto"/>
                <w:szCs w:val="21"/>
                <w:highlight w:val="none"/>
              </w:rPr>
              <w:t>报价等于</w:t>
            </w:r>
            <w:r>
              <w:rPr>
                <w:rFonts w:hint="eastAsia"/>
                <w:color w:val="auto"/>
                <w:szCs w:val="21"/>
                <w:highlight w:val="none"/>
              </w:rPr>
              <w:t>评</w:t>
            </w:r>
            <w:r>
              <w:rPr>
                <w:color w:val="auto"/>
                <w:highlight w:val="none"/>
              </w:rPr>
              <w:t>审</w:t>
            </w:r>
            <w:r>
              <w:rPr>
                <w:rFonts w:hint="eastAsia"/>
                <w:color w:val="auto"/>
                <w:highlight w:val="none"/>
                <w:lang w:eastAsia="zh-CN"/>
              </w:rPr>
              <w:t>基准价</w:t>
            </w:r>
            <w:r>
              <w:rPr>
                <w:color w:val="auto"/>
                <w:szCs w:val="21"/>
                <w:highlight w:val="none"/>
              </w:rPr>
              <w:t>时得满分</w:t>
            </w:r>
            <w:r>
              <w:rPr>
                <w:rFonts w:hint="eastAsia"/>
                <w:color w:val="auto"/>
                <w:szCs w:val="21"/>
                <w:highlight w:val="none"/>
              </w:rPr>
              <w:t>5</w:t>
            </w:r>
            <w:r>
              <w:rPr>
                <w:color w:val="auto"/>
                <w:szCs w:val="21"/>
                <w:highlight w:val="none"/>
              </w:rPr>
              <w:t>0分；</w:t>
            </w:r>
          </w:p>
          <w:p w14:paraId="6FF335D6">
            <w:pPr>
              <w:pStyle w:val="25"/>
              <w:spacing w:line="480" w:lineRule="exact"/>
              <w:ind w:firstLine="420" w:firstLineChars="200"/>
              <w:rPr>
                <w:rFonts w:hint="eastAsia"/>
                <w:color w:val="auto"/>
                <w:szCs w:val="21"/>
                <w:highlight w:val="none"/>
                <w:lang w:val="en-US" w:eastAsia="zh-CN"/>
              </w:rPr>
            </w:pPr>
            <w:r>
              <w:rPr>
                <w:color w:val="auto"/>
                <w:szCs w:val="21"/>
                <w:highlight w:val="none"/>
              </w:rPr>
              <w:t>高于</w:t>
            </w:r>
            <w:r>
              <w:rPr>
                <w:rFonts w:hint="eastAsia"/>
                <w:color w:val="auto"/>
                <w:highlight w:val="none"/>
              </w:rPr>
              <w:t>评审</w:t>
            </w:r>
            <w:r>
              <w:rPr>
                <w:color w:val="auto"/>
                <w:szCs w:val="21"/>
                <w:highlight w:val="none"/>
              </w:rPr>
              <w:t>基准价的报价得分=</w:t>
            </w:r>
            <w:r>
              <w:rPr>
                <w:rFonts w:hint="eastAsia"/>
                <w:color w:val="auto"/>
                <w:szCs w:val="21"/>
                <w:highlight w:val="none"/>
              </w:rPr>
              <w:t>5</w:t>
            </w:r>
            <w:r>
              <w:rPr>
                <w:color w:val="auto"/>
                <w:szCs w:val="21"/>
                <w:highlight w:val="none"/>
              </w:rPr>
              <w:t>0-偏差率×100×</w:t>
            </w:r>
            <w:r>
              <w:rPr>
                <w:rFonts w:hint="eastAsia"/>
                <w:color w:val="auto"/>
                <w:szCs w:val="21"/>
                <w:highlight w:val="none"/>
                <w:lang w:val="en-US" w:eastAsia="zh-CN"/>
              </w:rPr>
              <w:t>1.2</w:t>
            </w:r>
          </w:p>
          <w:p w14:paraId="0702B613">
            <w:pPr>
              <w:pStyle w:val="25"/>
              <w:spacing w:line="480" w:lineRule="exact"/>
              <w:ind w:firstLine="420" w:firstLineChars="200"/>
              <w:rPr>
                <w:rFonts w:hint="default" w:ascii="Times New Roman" w:hAnsi="Times New Roman" w:eastAsia="宋体" w:cs="Times New Roman"/>
                <w:color w:val="auto"/>
                <w:highlight w:val="none"/>
                <w:lang w:val="en-US" w:eastAsia="zh-CN"/>
              </w:rPr>
            </w:pPr>
            <w:r>
              <w:rPr>
                <w:rFonts w:ascii="Times New Roman" w:hAnsi="Times New Roman" w:cs="Times New Roman"/>
                <w:color w:val="auto"/>
                <w:szCs w:val="21"/>
                <w:highlight w:val="none"/>
              </w:rPr>
              <w:t>低于</w:t>
            </w:r>
            <w:r>
              <w:rPr>
                <w:rFonts w:hint="eastAsia" w:cs="Times New Roman"/>
                <w:color w:val="auto"/>
                <w:szCs w:val="21"/>
                <w:highlight w:val="none"/>
              </w:rPr>
              <w:t>评</w:t>
            </w:r>
            <w:r>
              <w:rPr>
                <w:rFonts w:ascii="Times New Roman" w:hAnsi="Times New Roman" w:cs="Times New Roman"/>
                <w:color w:val="auto"/>
                <w:highlight w:val="none"/>
              </w:rPr>
              <w:t>审基准</w:t>
            </w:r>
            <w:r>
              <w:rPr>
                <w:rFonts w:hint="eastAsia" w:cs="Times New Roman"/>
                <w:color w:val="auto"/>
                <w:highlight w:val="none"/>
              </w:rPr>
              <w:t>价</w:t>
            </w:r>
            <w:r>
              <w:rPr>
                <w:rFonts w:ascii="Times New Roman" w:hAnsi="Times New Roman" w:cs="Times New Roman"/>
                <w:color w:val="auto"/>
                <w:szCs w:val="21"/>
                <w:highlight w:val="none"/>
              </w:rPr>
              <w:t>的得分=</w:t>
            </w:r>
            <w:r>
              <w:rPr>
                <w:rFonts w:hint="eastAsia" w:ascii="Times New Roman" w:hAnsi="Times New Roman" w:cs="Times New Roman"/>
                <w:color w:val="auto"/>
                <w:szCs w:val="21"/>
                <w:highlight w:val="none"/>
              </w:rPr>
              <w:t>5</w:t>
            </w:r>
            <w:r>
              <w:rPr>
                <w:rFonts w:ascii="Times New Roman" w:hAnsi="Times New Roman" w:cs="Times New Roman"/>
                <w:color w:val="auto"/>
                <w:szCs w:val="21"/>
                <w:highlight w:val="none"/>
              </w:rPr>
              <w:t>0-偏差率</w:t>
            </w:r>
            <w:r>
              <w:rPr>
                <w:rFonts w:ascii="宋体" w:hAnsi="宋体" w:eastAsia="宋体" w:cs="Times New Roman"/>
                <w:color w:val="auto"/>
                <w:szCs w:val="21"/>
                <w:highlight w:val="none"/>
              </w:rPr>
              <w:t>×100×</w:t>
            </w:r>
            <w:r>
              <w:rPr>
                <w:rFonts w:hint="eastAsia" w:cs="Times New Roman"/>
                <w:color w:val="auto"/>
                <w:szCs w:val="21"/>
                <w:highlight w:val="none"/>
                <w:lang w:val="en-US" w:eastAsia="zh-CN"/>
              </w:rPr>
              <w:t>1.0</w:t>
            </w:r>
          </w:p>
          <w:p w14:paraId="048551F9">
            <w:pPr>
              <w:pStyle w:val="25"/>
              <w:spacing w:line="480" w:lineRule="exact"/>
              <w:ind w:firstLine="420" w:firstLineChars="200"/>
              <w:rPr>
                <w:rFonts w:ascii="Times New Roman" w:hAnsi="Times New Roman" w:cs="Times New Roman"/>
                <w:color w:val="auto"/>
                <w:szCs w:val="21"/>
                <w:highlight w:val="none"/>
              </w:rPr>
            </w:pPr>
            <w:r>
              <w:rPr>
                <w:rFonts w:ascii="Times New Roman" w:hAnsi="Times New Roman" w:cs="Times New Roman"/>
                <w:color w:val="auto"/>
                <w:szCs w:val="21"/>
                <w:highlight w:val="none"/>
              </w:rPr>
              <w:t>注：以上计算结果均保留2位小数，第3位四舍五入。</w:t>
            </w:r>
          </w:p>
          <w:p w14:paraId="72C11D67">
            <w:pPr>
              <w:pStyle w:val="25"/>
              <w:adjustRightInd w:val="0"/>
              <w:snapToGrid w:val="0"/>
              <w:spacing w:line="480" w:lineRule="exact"/>
              <w:ind w:firstLine="420" w:firstLineChars="200"/>
              <w:rPr>
                <w:rFonts w:hint="eastAsia" w:ascii="宋体" w:hAnsi="宋体" w:cs="宋体"/>
                <w:b/>
                <w:color w:val="auto"/>
                <w:szCs w:val="21"/>
                <w:highlight w:val="none"/>
              </w:rPr>
            </w:pPr>
            <w:r>
              <w:rPr>
                <w:rFonts w:hint="eastAsia" w:cs="Times New Roman"/>
                <w:color w:val="auto"/>
                <w:szCs w:val="21"/>
                <w:highlight w:val="none"/>
                <w:lang w:val="en-US" w:eastAsia="zh-CN"/>
              </w:rPr>
              <w:t>4、</w:t>
            </w:r>
            <w:r>
              <w:rPr>
                <w:rFonts w:hint="eastAsia" w:cs="宋体"/>
                <w:b/>
                <w:color w:val="auto"/>
                <w:szCs w:val="21"/>
                <w:highlight w:val="none"/>
                <w:lang w:eastAsia="zh-CN"/>
              </w:rPr>
              <w:t>评审</w:t>
            </w:r>
            <w:r>
              <w:rPr>
                <w:rFonts w:hint="eastAsia" w:ascii="宋体" w:hAnsi="宋体" w:cs="宋体"/>
                <w:b/>
                <w:color w:val="auto"/>
                <w:szCs w:val="21"/>
                <w:highlight w:val="none"/>
              </w:rPr>
              <w:t>价不参加</w:t>
            </w:r>
            <w:r>
              <w:rPr>
                <w:rFonts w:hint="eastAsia" w:cs="宋体"/>
                <w:b/>
                <w:color w:val="auto"/>
                <w:szCs w:val="21"/>
                <w:highlight w:val="none"/>
                <w:lang w:eastAsia="zh-CN"/>
              </w:rPr>
              <w:t>评审</w:t>
            </w:r>
            <w:r>
              <w:rPr>
                <w:rFonts w:hint="eastAsia" w:ascii="宋体" w:hAnsi="宋体" w:cs="宋体"/>
                <w:b/>
                <w:color w:val="auto"/>
                <w:szCs w:val="21"/>
                <w:highlight w:val="none"/>
              </w:rPr>
              <w:t>基准价计算的情形：</w:t>
            </w:r>
          </w:p>
          <w:p w14:paraId="53D85C86">
            <w:pPr>
              <w:pStyle w:val="25"/>
              <w:spacing w:line="480" w:lineRule="exact"/>
              <w:ind w:firstLine="420" w:firstLineChars="200"/>
              <w:jc w:val="both"/>
              <w:rPr>
                <w:rFonts w:hint="eastAsia" w:ascii="宋体" w:eastAsia="宋体" w:cs="宋体"/>
                <w:b w:val="0"/>
                <w:bCs w:val="0"/>
                <w:color w:val="auto"/>
                <w:kern w:val="2"/>
                <w:sz w:val="21"/>
                <w:highlight w:val="none"/>
              </w:rPr>
            </w:pPr>
            <w:r>
              <w:rPr>
                <w:rFonts w:hint="eastAsia" w:ascii="宋体" w:eastAsia="宋体" w:cs="宋体"/>
                <w:b w:val="0"/>
                <w:bCs w:val="0"/>
                <w:color w:val="auto"/>
                <w:kern w:val="2"/>
                <w:sz w:val="21"/>
                <w:highlight w:val="none"/>
              </w:rPr>
              <w:t>①未在</w:t>
            </w:r>
            <w:r>
              <w:rPr>
                <w:rFonts w:hint="eastAsia" w:cs="宋体"/>
                <w:b w:val="0"/>
                <w:bCs w:val="0"/>
                <w:color w:val="auto"/>
                <w:kern w:val="2"/>
                <w:sz w:val="21"/>
                <w:highlight w:val="none"/>
                <w:lang w:val="en-US" w:eastAsia="zh-CN"/>
              </w:rPr>
              <w:t>申请</w:t>
            </w:r>
            <w:r>
              <w:rPr>
                <w:rFonts w:hint="eastAsia" w:ascii="宋体" w:eastAsia="宋体" w:cs="宋体"/>
                <w:b w:val="0"/>
                <w:bCs w:val="0"/>
                <w:color w:val="auto"/>
                <w:kern w:val="2"/>
                <w:sz w:val="21"/>
                <w:highlight w:val="none"/>
              </w:rPr>
              <w:t>函上填写</w:t>
            </w:r>
            <w:r>
              <w:rPr>
                <w:rFonts w:hint="eastAsia" w:cs="宋体"/>
                <w:b w:val="0"/>
                <w:bCs w:val="0"/>
                <w:color w:val="auto"/>
                <w:kern w:val="2"/>
                <w:sz w:val="21"/>
                <w:highlight w:val="none"/>
                <w:lang w:val="en-US" w:eastAsia="zh-CN"/>
              </w:rPr>
              <w:t>比选申请</w:t>
            </w:r>
            <w:r>
              <w:rPr>
                <w:rFonts w:hint="eastAsia" w:ascii="宋体" w:eastAsia="宋体" w:cs="宋体"/>
                <w:b w:val="0"/>
                <w:bCs w:val="0"/>
                <w:color w:val="auto"/>
                <w:kern w:val="2"/>
                <w:sz w:val="21"/>
                <w:highlight w:val="none"/>
              </w:rPr>
              <w:t>报价；</w:t>
            </w:r>
          </w:p>
          <w:p w14:paraId="4B01D15C">
            <w:pPr>
              <w:pStyle w:val="25"/>
              <w:spacing w:line="480" w:lineRule="exact"/>
              <w:ind w:firstLine="420" w:firstLineChars="200"/>
              <w:jc w:val="both"/>
              <w:rPr>
                <w:rFonts w:hint="eastAsia" w:ascii="宋体" w:eastAsia="宋体" w:cs="宋体"/>
                <w:b w:val="0"/>
                <w:bCs w:val="0"/>
                <w:color w:val="auto"/>
                <w:kern w:val="2"/>
                <w:sz w:val="21"/>
                <w:highlight w:val="none"/>
              </w:rPr>
            </w:pPr>
            <w:r>
              <w:rPr>
                <w:rFonts w:hint="eastAsia" w:ascii="宋体" w:eastAsia="宋体" w:cs="宋体"/>
                <w:b w:val="0"/>
                <w:bCs w:val="0"/>
                <w:color w:val="auto"/>
                <w:kern w:val="2"/>
                <w:sz w:val="21"/>
                <w:highlight w:val="none"/>
              </w:rPr>
              <w:t>②</w:t>
            </w:r>
            <w:r>
              <w:rPr>
                <w:rFonts w:hint="eastAsia" w:cs="宋体"/>
                <w:b w:val="0"/>
                <w:bCs w:val="0"/>
                <w:color w:val="auto"/>
                <w:kern w:val="2"/>
                <w:sz w:val="21"/>
                <w:highlight w:val="none"/>
                <w:lang w:val="en-US" w:eastAsia="zh-CN"/>
              </w:rPr>
              <w:t>比选申请</w:t>
            </w:r>
            <w:r>
              <w:rPr>
                <w:rFonts w:hint="eastAsia" w:ascii="宋体" w:eastAsia="宋体" w:cs="宋体"/>
                <w:b w:val="0"/>
                <w:bCs w:val="0"/>
                <w:color w:val="auto"/>
                <w:kern w:val="2"/>
                <w:sz w:val="21"/>
                <w:highlight w:val="none"/>
              </w:rPr>
              <w:t>报价超出</w:t>
            </w:r>
            <w:r>
              <w:rPr>
                <w:rFonts w:hint="eastAsia" w:cs="宋体"/>
                <w:b w:val="0"/>
                <w:bCs w:val="0"/>
                <w:color w:val="auto"/>
                <w:kern w:val="2"/>
                <w:sz w:val="21"/>
                <w:highlight w:val="none"/>
                <w:lang w:val="en-US" w:eastAsia="zh-CN"/>
              </w:rPr>
              <w:t>比选</w:t>
            </w:r>
            <w:r>
              <w:rPr>
                <w:rFonts w:hint="eastAsia" w:ascii="宋体" w:eastAsia="宋体" w:cs="宋体"/>
                <w:b w:val="0"/>
                <w:bCs w:val="0"/>
                <w:color w:val="auto"/>
                <w:kern w:val="2"/>
                <w:sz w:val="21"/>
                <w:highlight w:val="none"/>
              </w:rPr>
              <w:t>人公布的最高</w:t>
            </w:r>
            <w:r>
              <w:rPr>
                <w:rFonts w:hint="eastAsia" w:cs="宋体"/>
                <w:b w:val="0"/>
                <w:bCs w:val="0"/>
                <w:color w:val="auto"/>
                <w:kern w:val="2"/>
                <w:sz w:val="21"/>
                <w:highlight w:val="none"/>
                <w:lang w:val="en-US" w:eastAsia="zh-CN"/>
              </w:rPr>
              <w:t>比选申请</w:t>
            </w:r>
            <w:r>
              <w:rPr>
                <w:rFonts w:hint="eastAsia" w:ascii="宋体" w:eastAsia="宋体" w:cs="宋体"/>
                <w:b w:val="0"/>
                <w:bCs w:val="0"/>
                <w:color w:val="auto"/>
                <w:kern w:val="2"/>
                <w:sz w:val="21"/>
                <w:highlight w:val="none"/>
              </w:rPr>
              <w:t>限价；</w:t>
            </w:r>
          </w:p>
          <w:p w14:paraId="12B07E74">
            <w:pPr>
              <w:pStyle w:val="25"/>
              <w:spacing w:line="480" w:lineRule="exact"/>
              <w:ind w:firstLine="420" w:firstLineChars="200"/>
              <w:jc w:val="both"/>
              <w:rPr>
                <w:rFonts w:hint="eastAsia" w:ascii="宋体" w:eastAsia="宋体" w:cs="宋体"/>
                <w:b w:val="0"/>
                <w:bCs w:val="0"/>
                <w:color w:val="auto"/>
                <w:kern w:val="2"/>
                <w:sz w:val="21"/>
                <w:highlight w:val="none"/>
                <w:lang w:eastAsia="zh-CN"/>
              </w:rPr>
            </w:pPr>
            <w:r>
              <w:rPr>
                <w:rFonts w:hint="eastAsia" w:ascii="宋体" w:eastAsia="宋体" w:cs="宋体"/>
                <w:b w:val="0"/>
                <w:bCs w:val="0"/>
                <w:color w:val="auto"/>
                <w:kern w:val="2"/>
                <w:sz w:val="21"/>
                <w:highlight w:val="none"/>
              </w:rPr>
              <w:t>③</w:t>
            </w:r>
            <w:r>
              <w:rPr>
                <w:rFonts w:hint="eastAsia" w:cs="宋体"/>
                <w:b w:val="0"/>
                <w:bCs w:val="0"/>
                <w:color w:val="auto"/>
                <w:kern w:val="2"/>
                <w:sz w:val="21"/>
                <w:highlight w:val="none"/>
                <w:lang w:val="en-US" w:eastAsia="zh-CN"/>
              </w:rPr>
              <w:t>比选申请</w:t>
            </w:r>
            <w:r>
              <w:rPr>
                <w:rFonts w:hint="eastAsia" w:ascii="宋体" w:eastAsia="宋体" w:cs="宋体"/>
                <w:b w:val="0"/>
                <w:bCs w:val="0"/>
                <w:color w:val="auto"/>
                <w:kern w:val="2"/>
                <w:sz w:val="21"/>
                <w:highlight w:val="none"/>
              </w:rPr>
              <w:t>报价低于</w:t>
            </w:r>
            <w:r>
              <w:rPr>
                <w:rFonts w:hint="eastAsia" w:cs="宋体"/>
                <w:b w:val="0"/>
                <w:bCs w:val="0"/>
                <w:color w:val="auto"/>
                <w:kern w:val="2"/>
                <w:sz w:val="21"/>
                <w:highlight w:val="none"/>
                <w:lang w:val="en-US" w:eastAsia="zh-CN"/>
              </w:rPr>
              <w:t>比选</w:t>
            </w:r>
            <w:r>
              <w:rPr>
                <w:rFonts w:hint="eastAsia" w:ascii="宋体" w:eastAsia="宋体" w:cs="宋体"/>
                <w:b w:val="0"/>
                <w:bCs w:val="0"/>
                <w:color w:val="auto"/>
                <w:kern w:val="2"/>
                <w:sz w:val="21"/>
                <w:highlight w:val="none"/>
              </w:rPr>
              <w:t>人公布的最高</w:t>
            </w:r>
            <w:r>
              <w:rPr>
                <w:rFonts w:hint="eastAsia" w:cs="宋体"/>
                <w:b w:val="0"/>
                <w:bCs w:val="0"/>
                <w:color w:val="auto"/>
                <w:kern w:val="2"/>
                <w:sz w:val="21"/>
                <w:highlight w:val="none"/>
                <w:lang w:val="en-US" w:eastAsia="zh-CN"/>
              </w:rPr>
              <w:t>比选申请</w:t>
            </w:r>
            <w:r>
              <w:rPr>
                <w:rFonts w:hint="eastAsia" w:ascii="宋体" w:eastAsia="宋体" w:cs="宋体"/>
                <w:b w:val="0"/>
                <w:bCs w:val="0"/>
                <w:color w:val="auto"/>
                <w:kern w:val="2"/>
                <w:sz w:val="21"/>
                <w:highlight w:val="none"/>
              </w:rPr>
              <w:t>限价的85%（不含85%</w:t>
            </w:r>
            <w:r>
              <w:rPr>
                <w:rFonts w:hint="eastAsia" w:ascii="宋体" w:eastAsia="宋体" w:cs="宋体"/>
                <w:b w:val="0"/>
                <w:bCs w:val="0"/>
                <w:color w:val="auto"/>
                <w:kern w:val="2"/>
                <w:sz w:val="21"/>
                <w:highlight w:val="none"/>
                <w:lang w:eastAsia="zh-CN"/>
              </w:rPr>
              <w:t>）；</w:t>
            </w:r>
          </w:p>
          <w:p w14:paraId="0D3A09CB">
            <w:pPr>
              <w:pStyle w:val="25"/>
              <w:spacing w:line="480" w:lineRule="exact"/>
              <w:ind w:firstLine="420" w:firstLineChars="200"/>
              <w:rPr>
                <w:rFonts w:hint="eastAsia" w:eastAsia="宋体"/>
                <w:highlight w:val="none"/>
                <w:lang w:val="en-US" w:eastAsia="zh-CN"/>
              </w:rPr>
            </w:pPr>
            <w:r>
              <w:rPr>
                <w:rFonts w:hint="eastAsia" w:ascii="宋体" w:eastAsia="宋体" w:cs="宋体"/>
                <w:b w:val="0"/>
                <w:bCs w:val="0"/>
                <w:color w:val="auto"/>
                <w:kern w:val="2"/>
                <w:sz w:val="21"/>
                <w:highlight w:val="none"/>
              </w:rPr>
              <w:t>④当所有报价均低于最高</w:t>
            </w:r>
            <w:r>
              <w:rPr>
                <w:rFonts w:hint="eastAsia" w:cs="宋体"/>
                <w:b w:val="0"/>
                <w:bCs w:val="0"/>
                <w:color w:val="auto"/>
                <w:kern w:val="2"/>
                <w:sz w:val="21"/>
                <w:highlight w:val="none"/>
                <w:lang w:val="en-US" w:eastAsia="zh-CN"/>
              </w:rPr>
              <w:t>比选申请</w:t>
            </w:r>
            <w:r>
              <w:rPr>
                <w:rFonts w:hint="eastAsia" w:ascii="宋体" w:eastAsia="宋体" w:cs="宋体"/>
                <w:b w:val="0"/>
                <w:bCs w:val="0"/>
                <w:color w:val="auto"/>
                <w:kern w:val="2"/>
                <w:sz w:val="21"/>
                <w:highlight w:val="none"/>
              </w:rPr>
              <w:t>限价的85%，按照最高</w:t>
            </w:r>
            <w:r>
              <w:rPr>
                <w:rFonts w:hint="eastAsia" w:cs="宋体"/>
                <w:b w:val="0"/>
                <w:bCs w:val="0"/>
                <w:color w:val="auto"/>
                <w:kern w:val="2"/>
                <w:sz w:val="21"/>
                <w:highlight w:val="none"/>
                <w:lang w:val="en-US" w:eastAsia="zh-CN"/>
              </w:rPr>
              <w:t>比选申请</w:t>
            </w:r>
            <w:r>
              <w:rPr>
                <w:rFonts w:hint="eastAsia" w:ascii="宋体" w:eastAsia="宋体" w:cs="宋体"/>
                <w:b w:val="0"/>
                <w:bCs w:val="0"/>
                <w:color w:val="auto"/>
                <w:kern w:val="2"/>
                <w:sz w:val="21"/>
                <w:highlight w:val="none"/>
              </w:rPr>
              <w:t>限价的85%作为</w:t>
            </w:r>
            <w:r>
              <w:rPr>
                <w:rFonts w:hint="eastAsia" w:cs="宋体"/>
                <w:b w:val="0"/>
                <w:bCs w:val="0"/>
                <w:color w:val="auto"/>
                <w:kern w:val="2"/>
                <w:sz w:val="21"/>
                <w:highlight w:val="none"/>
                <w:lang w:eastAsia="zh-CN"/>
              </w:rPr>
              <w:t>评审</w:t>
            </w:r>
            <w:r>
              <w:rPr>
                <w:rFonts w:hint="eastAsia" w:ascii="宋体" w:eastAsia="宋体" w:cs="宋体"/>
                <w:b w:val="0"/>
                <w:bCs w:val="0"/>
                <w:color w:val="auto"/>
                <w:kern w:val="2"/>
                <w:sz w:val="21"/>
                <w:highlight w:val="none"/>
              </w:rPr>
              <w:t>基准价。</w:t>
            </w:r>
          </w:p>
        </w:tc>
      </w:tr>
      <w:tr w14:paraId="14E35A11">
        <w:tblPrEx>
          <w:tblCellMar>
            <w:top w:w="0" w:type="dxa"/>
            <w:left w:w="108" w:type="dxa"/>
            <w:bottom w:w="0" w:type="dxa"/>
            <w:right w:w="108" w:type="dxa"/>
          </w:tblCellMar>
        </w:tblPrEx>
        <w:trPr>
          <w:gridAfter w:val="1"/>
          <w:wAfter w:w="9" w:type="dxa"/>
          <w:trHeight w:val="419" w:hRule="atLeast"/>
          <w:jc w:val="center"/>
        </w:trPr>
        <w:tc>
          <w:tcPr>
            <w:tcW w:w="851" w:type="dxa"/>
            <w:tcBorders>
              <w:top w:val="single" w:color="auto" w:sz="4" w:space="0"/>
              <w:left w:val="single" w:color="auto" w:sz="4" w:space="0"/>
              <w:bottom w:val="single" w:color="auto" w:sz="4" w:space="0"/>
              <w:right w:val="single" w:color="000000" w:sz="4" w:space="0"/>
            </w:tcBorders>
            <w:vAlign w:val="center"/>
          </w:tcPr>
          <w:p w14:paraId="4A881EC0">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4</w:t>
            </w:r>
          </w:p>
        </w:tc>
        <w:tc>
          <w:tcPr>
            <w:tcW w:w="1693" w:type="dxa"/>
            <w:tcBorders>
              <w:top w:val="single" w:color="auto" w:sz="4" w:space="0"/>
              <w:left w:val="single" w:color="000000" w:sz="4" w:space="0"/>
              <w:bottom w:val="single" w:color="auto" w:sz="4" w:space="0"/>
              <w:right w:val="single" w:color="auto" w:sz="4" w:space="0"/>
            </w:tcBorders>
            <w:vAlign w:val="center"/>
          </w:tcPr>
          <w:p w14:paraId="190A616A">
            <w:pPr>
              <w:spacing w:line="360" w:lineRule="auto"/>
              <w:jc w:val="center"/>
              <w:rPr>
                <w:rFonts w:ascii="Times New Roman" w:hAnsi="Times New Roman" w:cs="Times New Roman"/>
                <w:kern w:val="0"/>
                <w:szCs w:val="21"/>
                <w:highlight w:val="none"/>
              </w:rPr>
            </w:pPr>
            <w:r>
              <w:rPr>
                <w:rFonts w:ascii="Times New Roman" w:hAnsi="Times New Roman" w:cs="Times New Roman"/>
                <w:kern w:val="0"/>
                <w:szCs w:val="21"/>
                <w:highlight w:val="none"/>
              </w:rPr>
              <w:t>推荐</w:t>
            </w:r>
          </w:p>
          <w:p w14:paraId="48575A91">
            <w:pPr>
              <w:spacing w:line="360" w:lineRule="auto"/>
              <w:jc w:val="center"/>
              <w:rPr>
                <w:rFonts w:ascii="Times New Roman" w:hAnsi="Times New Roman" w:cs="Times New Roman"/>
                <w:color w:val="000000"/>
                <w:szCs w:val="21"/>
                <w:highlight w:val="none"/>
              </w:rPr>
            </w:pPr>
            <w:r>
              <w:rPr>
                <w:rFonts w:hint="eastAsia" w:ascii="Times New Roman" w:hAnsi="Times New Roman" w:cs="Times New Roman"/>
                <w:kern w:val="0"/>
                <w:szCs w:val="21"/>
                <w:highlight w:val="none"/>
              </w:rPr>
              <w:t>中选</w:t>
            </w:r>
            <w:r>
              <w:rPr>
                <w:rFonts w:ascii="Times New Roman" w:hAnsi="Times New Roman" w:cs="Times New Roman"/>
                <w:kern w:val="0"/>
                <w:szCs w:val="21"/>
                <w:highlight w:val="none"/>
              </w:rPr>
              <w:t>候选人</w:t>
            </w:r>
          </w:p>
        </w:tc>
        <w:tc>
          <w:tcPr>
            <w:tcW w:w="7295" w:type="dxa"/>
            <w:gridSpan w:val="3"/>
            <w:tcBorders>
              <w:top w:val="single" w:color="auto" w:sz="4" w:space="0"/>
              <w:left w:val="single" w:color="000000" w:sz="4" w:space="0"/>
              <w:bottom w:val="single" w:color="auto" w:sz="4" w:space="0"/>
              <w:right w:val="single" w:color="000000" w:sz="4" w:space="0"/>
            </w:tcBorders>
            <w:vAlign w:val="center"/>
          </w:tcPr>
          <w:p w14:paraId="74DAAF17">
            <w:pPr>
              <w:spacing w:line="360" w:lineRule="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1.本次评</w:t>
            </w:r>
            <w:r>
              <w:rPr>
                <w:rFonts w:hint="eastAsia" w:ascii="Times New Roman" w:hAnsi="Times New Roman" w:cs="Times New Roman"/>
                <w:color w:val="auto"/>
                <w:szCs w:val="21"/>
                <w:highlight w:val="none"/>
                <w:lang w:val="en-US" w:eastAsia="zh-CN"/>
              </w:rPr>
              <w:t>审</w:t>
            </w:r>
            <w:r>
              <w:rPr>
                <w:rFonts w:hint="default" w:ascii="Times New Roman" w:hAnsi="Times New Roman" w:cs="Times New Roman"/>
                <w:color w:val="auto"/>
                <w:szCs w:val="21"/>
                <w:highlight w:val="none"/>
              </w:rPr>
              <w:t>采用综合评分法，推荐</w:t>
            </w:r>
            <w:r>
              <w:rPr>
                <w:rFonts w:hint="default" w:ascii="Times New Roman" w:hAnsi="Times New Roman" w:cs="Times New Roman"/>
                <w:color w:val="auto"/>
                <w:szCs w:val="21"/>
                <w:highlight w:val="none"/>
                <w:lang w:eastAsia="zh-CN"/>
              </w:rPr>
              <w:t>中选</w:t>
            </w:r>
            <w:r>
              <w:rPr>
                <w:rFonts w:hint="default" w:ascii="Times New Roman" w:hAnsi="Times New Roman" w:cs="Times New Roman"/>
                <w:color w:val="auto"/>
                <w:szCs w:val="21"/>
                <w:highlight w:val="none"/>
              </w:rPr>
              <w:t>候选人具体原则为：</w:t>
            </w:r>
          </w:p>
          <w:p w14:paraId="76E57FA5">
            <w:pPr>
              <w:spacing w:line="360" w:lineRule="auto"/>
              <w:ind w:firstLine="0" w:firstLineChars="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w:t>
            </w:r>
            <w:r>
              <w:rPr>
                <w:rFonts w:hint="eastAsia" w:ascii="Times New Roman" w:hAnsi="Times New Roman" w:cs="Times New Roman"/>
                <w:color w:val="auto"/>
                <w:szCs w:val="21"/>
                <w:highlight w:val="none"/>
                <w:lang w:val="en-US" w:eastAsia="zh-CN"/>
              </w:rPr>
              <w:t>审</w:t>
            </w:r>
            <w:r>
              <w:rPr>
                <w:rFonts w:hint="default" w:ascii="Times New Roman" w:hAnsi="Times New Roman" w:cs="Times New Roman"/>
                <w:color w:val="auto"/>
                <w:szCs w:val="21"/>
                <w:highlight w:val="none"/>
              </w:rPr>
              <w:t>委员会对通过</w:t>
            </w:r>
            <w:r>
              <w:rPr>
                <w:rFonts w:hint="default" w:ascii="Times New Roman" w:hAnsi="Times New Roman" w:cs="Times New Roman"/>
                <w:color w:val="auto"/>
                <w:szCs w:val="21"/>
                <w:highlight w:val="none"/>
                <w:lang w:val="en-US" w:eastAsia="zh-CN"/>
              </w:rPr>
              <w:t>初步</w:t>
            </w:r>
            <w:r>
              <w:rPr>
                <w:rFonts w:hint="default" w:ascii="Times New Roman" w:hAnsi="Times New Roman" w:cs="Times New Roman"/>
                <w:color w:val="auto"/>
                <w:szCs w:val="21"/>
                <w:highlight w:val="none"/>
              </w:rPr>
              <w:t>评审的所有</w:t>
            </w:r>
            <w:r>
              <w:rPr>
                <w:rFonts w:hint="default" w:ascii="Times New Roman" w:hAnsi="Times New Roman" w:cs="Times New Roman"/>
                <w:color w:val="auto"/>
                <w:szCs w:val="21"/>
                <w:highlight w:val="none"/>
                <w:lang w:val="en-US" w:eastAsia="zh-CN"/>
              </w:rPr>
              <w:t>比选申请</w:t>
            </w:r>
            <w:r>
              <w:rPr>
                <w:rFonts w:hint="default" w:ascii="Times New Roman" w:hAnsi="Times New Roman" w:cs="Times New Roman"/>
                <w:color w:val="auto"/>
                <w:szCs w:val="21"/>
                <w:highlight w:val="none"/>
              </w:rPr>
              <w:t>人，按照综合得分由高到低进行排序。若多个</w:t>
            </w:r>
            <w:r>
              <w:rPr>
                <w:rFonts w:hint="default" w:ascii="Times New Roman" w:hAnsi="Times New Roman" w:cs="Times New Roman"/>
                <w:color w:val="auto"/>
                <w:szCs w:val="21"/>
                <w:highlight w:val="none"/>
                <w:lang w:val="en-US" w:eastAsia="zh-CN"/>
              </w:rPr>
              <w:t>比选申请</w:t>
            </w:r>
            <w:r>
              <w:rPr>
                <w:rFonts w:hint="default" w:ascii="Times New Roman" w:hAnsi="Times New Roman" w:cs="Times New Roman"/>
                <w:color w:val="auto"/>
                <w:szCs w:val="21"/>
                <w:highlight w:val="none"/>
              </w:rPr>
              <w:t>人综合得分相同时，评</w:t>
            </w:r>
            <w:r>
              <w:rPr>
                <w:rFonts w:hint="eastAsia" w:ascii="Times New Roman" w:hAnsi="Times New Roman" w:cs="Times New Roman"/>
                <w:color w:val="auto"/>
                <w:szCs w:val="21"/>
                <w:highlight w:val="none"/>
                <w:lang w:val="en-US" w:eastAsia="zh-CN"/>
              </w:rPr>
              <w:t>审</w:t>
            </w:r>
            <w:r>
              <w:rPr>
                <w:rFonts w:hint="default" w:ascii="Times New Roman" w:hAnsi="Times New Roman" w:cs="Times New Roman"/>
                <w:color w:val="auto"/>
                <w:szCs w:val="21"/>
                <w:highlight w:val="none"/>
              </w:rPr>
              <w:t>委员会依次按照以下原则排序：</w:t>
            </w:r>
          </w:p>
          <w:p w14:paraId="308B3366">
            <w:pPr>
              <w:spacing w:line="360" w:lineRule="auto"/>
              <w:ind w:firstLine="0" w:firstLineChars="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①评</w:t>
            </w:r>
            <w:r>
              <w:rPr>
                <w:rFonts w:hint="eastAsia" w:ascii="Times New Roman" w:hAnsi="Times New Roman" w:cs="Times New Roman"/>
                <w:color w:val="auto"/>
                <w:szCs w:val="21"/>
                <w:highlight w:val="none"/>
                <w:lang w:val="en-US" w:eastAsia="zh-CN"/>
              </w:rPr>
              <w:t>审</w:t>
            </w:r>
            <w:r>
              <w:rPr>
                <w:rFonts w:hint="default" w:ascii="Times New Roman" w:hAnsi="Times New Roman" w:cs="Times New Roman"/>
                <w:color w:val="auto"/>
                <w:szCs w:val="21"/>
                <w:highlight w:val="none"/>
              </w:rPr>
              <w:t>价低的</w:t>
            </w:r>
            <w:r>
              <w:rPr>
                <w:rFonts w:hint="default" w:ascii="Times New Roman" w:hAnsi="Times New Roman" w:cs="Times New Roman"/>
                <w:color w:val="auto"/>
                <w:szCs w:val="21"/>
                <w:highlight w:val="none"/>
                <w:lang w:val="en-US" w:eastAsia="zh-CN"/>
              </w:rPr>
              <w:t>比选申请</w:t>
            </w:r>
            <w:r>
              <w:rPr>
                <w:rFonts w:hint="default" w:ascii="Times New Roman" w:hAnsi="Times New Roman" w:cs="Times New Roman"/>
                <w:color w:val="auto"/>
                <w:szCs w:val="21"/>
                <w:highlight w:val="none"/>
              </w:rPr>
              <w:t xml:space="preserve">人优先； </w:t>
            </w:r>
          </w:p>
          <w:p w14:paraId="2783C6BF">
            <w:pPr>
              <w:spacing w:line="360" w:lineRule="auto"/>
              <w:ind w:firstLine="0" w:firstLineChars="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②</w:t>
            </w:r>
            <w:r>
              <w:rPr>
                <w:rFonts w:hint="default" w:ascii="Times New Roman" w:hAnsi="Times New Roman" w:cs="Times New Roman"/>
                <w:color w:val="auto"/>
                <w:szCs w:val="21"/>
                <w:highlight w:val="none"/>
                <w:lang w:val="en-US" w:eastAsia="zh-CN"/>
              </w:rPr>
              <w:t>商务和技术</w:t>
            </w:r>
            <w:r>
              <w:rPr>
                <w:rFonts w:hint="eastAsia" w:ascii="Times New Roman" w:hAnsi="Times New Roman" w:cs="Times New Roman"/>
                <w:color w:val="auto"/>
                <w:szCs w:val="21"/>
                <w:highlight w:val="none"/>
                <w:lang w:val="en-US" w:eastAsia="zh-CN"/>
              </w:rPr>
              <w:t>部分合计</w:t>
            </w:r>
            <w:r>
              <w:rPr>
                <w:rFonts w:hint="default" w:ascii="Times New Roman" w:hAnsi="Times New Roman" w:cs="Times New Roman"/>
                <w:color w:val="auto"/>
                <w:szCs w:val="21"/>
                <w:highlight w:val="none"/>
                <w:lang w:val="en-US" w:eastAsia="zh-CN"/>
              </w:rPr>
              <w:t>得分高的比选申请人优先</w:t>
            </w:r>
            <w:r>
              <w:rPr>
                <w:rFonts w:hint="default" w:ascii="Times New Roman" w:hAnsi="Times New Roman" w:cs="Times New Roman"/>
                <w:color w:val="auto"/>
                <w:szCs w:val="21"/>
                <w:highlight w:val="none"/>
              </w:rPr>
              <w:t xml:space="preserve">； </w:t>
            </w:r>
          </w:p>
          <w:p w14:paraId="7EAC5258">
            <w:pPr>
              <w:spacing w:line="360" w:lineRule="auto"/>
              <w:ind w:firstLine="0" w:firstLineChars="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若上述情况都相同时，则按有利于</w:t>
            </w:r>
            <w:r>
              <w:rPr>
                <w:rFonts w:hint="default" w:ascii="Times New Roman" w:hAnsi="Times New Roman" w:cs="Times New Roman"/>
                <w:color w:val="auto"/>
                <w:szCs w:val="21"/>
                <w:highlight w:val="none"/>
                <w:lang w:val="en-US" w:eastAsia="zh-CN"/>
              </w:rPr>
              <w:t>比选</w:t>
            </w:r>
            <w:r>
              <w:rPr>
                <w:rFonts w:hint="default" w:ascii="Times New Roman" w:hAnsi="Times New Roman" w:cs="Times New Roman"/>
                <w:color w:val="auto"/>
                <w:szCs w:val="21"/>
                <w:highlight w:val="none"/>
              </w:rPr>
              <w:t>人的原则进行推荐。</w:t>
            </w:r>
          </w:p>
          <w:p w14:paraId="5DEF0BA0">
            <w:pPr>
              <w:widowControl/>
              <w:adjustRightInd/>
              <w:snapToGrid/>
              <w:spacing w:line="360" w:lineRule="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2.评</w:t>
            </w:r>
            <w:r>
              <w:rPr>
                <w:rFonts w:hint="eastAsia" w:ascii="Times New Roman" w:hAnsi="Times New Roman" w:cs="Times New Roman"/>
                <w:color w:val="auto"/>
                <w:szCs w:val="21"/>
                <w:highlight w:val="none"/>
                <w:lang w:val="en-US" w:eastAsia="zh-CN"/>
              </w:rPr>
              <w:t>审</w:t>
            </w:r>
            <w:r>
              <w:rPr>
                <w:rFonts w:hint="default" w:ascii="Times New Roman" w:hAnsi="Times New Roman" w:cs="Times New Roman"/>
                <w:color w:val="auto"/>
                <w:szCs w:val="21"/>
                <w:highlight w:val="none"/>
              </w:rPr>
              <w:t>委员会按最终排序推荐前3名</w:t>
            </w:r>
            <w:r>
              <w:rPr>
                <w:rFonts w:hint="default" w:ascii="Times New Roman" w:hAnsi="Times New Roman" w:cs="Times New Roman"/>
                <w:color w:val="auto"/>
                <w:szCs w:val="21"/>
                <w:highlight w:val="none"/>
                <w:lang w:eastAsia="zh-CN"/>
              </w:rPr>
              <w:t>中选</w:t>
            </w:r>
            <w:r>
              <w:rPr>
                <w:rFonts w:hint="default" w:ascii="Times New Roman" w:hAnsi="Times New Roman" w:cs="Times New Roman"/>
                <w:color w:val="auto"/>
                <w:szCs w:val="21"/>
                <w:highlight w:val="none"/>
              </w:rPr>
              <w:t>候选人（若不足3名，则按相应</w:t>
            </w:r>
            <w:r>
              <w:rPr>
                <w:rFonts w:hint="default" w:ascii="Times New Roman" w:hAnsi="Times New Roman" w:cs="Times New Roman"/>
                <w:color w:val="auto"/>
                <w:szCs w:val="21"/>
                <w:highlight w:val="none"/>
                <w:lang w:val="en-US" w:eastAsia="zh-CN"/>
              </w:rPr>
              <w:t>实际</w:t>
            </w:r>
            <w:r>
              <w:rPr>
                <w:rFonts w:hint="default" w:ascii="Times New Roman" w:hAnsi="Times New Roman" w:cs="Times New Roman"/>
                <w:color w:val="auto"/>
                <w:szCs w:val="21"/>
                <w:highlight w:val="none"/>
              </w:rPr>
              <w:t>数量推荐）。</w:t>
            </w:r>
          </w:p>
          <w:p w14:paraId="688075BC">
            <w:pPr>
              <w:spacing w:line="360" w:lineRule="auto"/>
              <w:jc w:val="left"/>
              <w:rPr>
                <w:rFonts w:ascii="Times New Roman" w:hAnsi="Times New Roman" w:cs="Times New Roman"/>
                <w:color w:val="auto"/>
                <w:kern w:val="2"/>
                <w:szCs w:val="21"/>
                <w:highlight w:val="none"/>
              </w:rPr>
            </w:pPr>
            <w:r>
              <w:rPr>
                <w:rFonts w:hint="default" w:ascii="Times New Roman" w:hAnsi="Times New Roman" w:cs="Times New Roman"/>
                <w:color w:val="auto"/>
                <w:szCs w:val="21"/>
                <w:highlight w:val="none"/>
              </w:rPr>
              <w:t>3.在评</w:t>
            </w:r>
            <w:r>
              <w:rPr>
                <w:rFonts w:hint="eastAsia" w:ascii="Times New Roman" w:hAnsi="Times New Roman" w:cs="Times New Roman"/>
                <w:color w:val="auto"/>
                <w:szCs w:val="21"/>
                <w:highlight w:val="none"/>
                <w:lang w:val="en-US" w:eastAsia="zh-CN"/>
              </w:rPr>
              <w:t>审</w:t>
            </w:r>
            <w:r>
              <w:rPr>
                <w:rFonts w:hint="default" w:ascii="Times New Roman" w:hAnsi="Times New Roman" w:cs="Times New Roman"/>
                <w:color w:val="auto"/>
                <w:szCs w:val="21"/>
                <w:highlight w:val="none"/>
              </w:rPr>
              <w:t>过程中，如有效</w:t>
            </w:r>
            <w:r>
              <w:rPr>
                <w:rFonts w:hint="default" w:ascii="Times New Roman" w:hAnsi="Times New Roman" w:cs="Times New Roman"/>
                <w:color w:val="auto"/>
                <w:szCs w:val="21"/>
                <w:highlight w:val="none"/>
                <w:lang w:val="en-US" w:eastAsia="zh-CN"/>
              </w:rPr>
              <w:t>比选申请</w:t>
            </w:r>
            <w:r>
              <w:rPr>
                <w:rFonts w:hint="default" w:ascii="Times New Roman" w:hAnsi="Times New Roman" w:cs="Times New Roman"/>
                <w:color w:val="auto"/>
                <w:szCs w:val="21"/>
                <w:highlight w:val="none"/>
              </w:rPr>
              <w:t>不足3个，评</w:t>
            </w:r>
            <w:r>
              <w:rPr>
                <w:rFonts w:hint="eastAsia" w:ascii="Times New Roman" w:hAnsi="Times New Roman" w:cs="Times New Roman"/>
                <w:color w:val="auto"/>
                <w:szCs w:val="21"/>
                <w:highlight w:val="none"/>
                <w:lang w:val="en-US" w:eastAsia="zh-CN"/>
              </w:rPr>
              <w:t>审</w:t>
            </w:r>
            <w:r>
              <w:rPr>
                <w:rFonts w:hint="default" w:ascii="Times New Roman" w:hAnsi="Times New Roman" w:cs="Times New Roman"/>
                <w:color w:val="auto"/>
                <w:szCs w:val="21"/>
                <w:highlight w:val="none"/>
              </w:rPr>
              <w:t>委员会应当对有效</w:t>
            </w:r>
            <w:r>
              <w:rPr>
                <w:rFonts w:hint="default" w:ascii="Times New Roman" w:hAnsi="Times New Roman" w:cs="Times New Roman"/>
                <w:color w:val="auto"/>
                <w:szCs w:val="21"/>
                <w:highlight w:val="none"/>
                <w:lang w:val="en-US" w:eastAsia="zh-CN"/>
              </w:rPr>
              <w:t>比选申请</w:t>
            </w:r>
            <w:r>
              <w:rPr>
                <w:rFonts w:hint="default" w:ascii="Times New Roman" w:hAnsi="Times New Roman" w:cs="Times New Roman"/>
                <w:color w:val="auto"/>
                <w:szCs w:val="21"/>
                <w:highlight w:val="none"/>
              </w:rPr>
              <w:t>是否仍具有竞争性进行评审。评</w:t>
            </w:r>
            <w:r>
              <w:rPr>
                <w:rFonts w:hint="eastAsia" w:ascii="Times New Roman" w:hAnsi="Times New Roman" w:cs="Times New Roman"/>
                <w:color w:val="auto"/>
                <w:szCs w:val="21"/>
                <w:highlight w:val="none"/>
                <w:lang w:val="en-US" w:eastAsia="zh-CN"/>
              </w:rPr>
              <w:t>审</w:t>
            </w:r>
            <w:r>
              <w:rPr>
                <w:rFonts w:hint="default" w:ascii="Times New Roman" w:hAnsi="Times New Roman" w:cs="Times New Roman"/>
                <w:color w:val="auto"/>
                <w:szCs w:val="21"/>
                <w:highlight w:val="none"/>
              </w:rPr>
              <w:t>委员会一致认为有效</w:t>
            </w:r>
            <w:r>
              <w:rPr>
                <w:rFonts w:hint="default" w:ascii="Times New Roman" w:hAnsi="Times New Roman" w:cs="Times New Roman"/>
                <w:color w:val="auto"/>
                <w:szCs w:val="21"/>
                <w:highlight w:val="none"/>
                <w:lang w:val="en-US" w:eastAsia="zh-CN"/>
              </w:rPr>
              <w:t>比选申请</w:t>
            </w:r>
            <w:r>
              <w:rPr>
                <w:rFonts w:hint="default" w:ascii="Times New Roman" w:hAnsi="Times New Roman" w:cs="Times New Roman"/>
                <w:color w:val="auto"/>
                <w:szCs w:val="21"/>
                <w:highlight w:val="none"/>
              </w:rPr>
              <w:t>仍具有竞争性的，应当继续推荐</w:t>
            </w:r>
            <w:r>
              <w:rPr>
                <w:rFonts w:hint="default" w:ascii="Times New Roman" w:hAnsi="Times New Roman" w:cs="Times New Roman"/>
                <w:color w:val="auto"/>
                <w:szCs w:val="21"/>
                <w:highlight w:val="none"/>
                <w:lang w:eastAsia="zh-CN"/>
              </w:rPr>
              <w:t>中选</w:t>
            </w:r>
            <w:r>
              <w:rPr>
                <w:rFonts w:hint="default" w:ascii="Times New Roman" w:hAnsi="Times New Roman" w:cs="Times New Roman"/>
                <w:color w:val="auto"/>
                <w:szCs w:val="21"/>
                <w:highlight w:val="none"/>
              </w:rPr>
              <w:t>候选人，并在评</w:t>
            </w:r>
            <w:r>
              <w:rPr>
                <w:rFonts w:hint="eastAsia" w:ascii="Times New Roman" w:hAnsi="Times New Roman" w:cs="Times New Roman"/>
                <w:color w:val="auto"/>
                <w:szCs w:val="21"/>
                <w:highlight w:val="none"/>
                <w:lang w:val="en-US" w:eastAsia="zh-CN"/>
              </w:rPr>
              <w:t>审</w:t>
            </w:r>
            <w:r>
              <w:rPr>
                <w:rFonts w:hint="default" w:ascii="Times New Roman" w:hAnsi="Times New Roman" w:cs="Times New Roman"/>
                <w:color w:val="auto"/>
                <w:szCs w:val="21"/>
                <w:highlight w:val="none"/>
              </w:rPr>
              <w:t>报告中予以说明。评</w:t>
            </w:r>
            <w:r>
              <w:rPr>
                <w:rFonts w:hint="eastAsia" w:ascii="Times New Roman" w:hAnsi="Times New Roman" w:cs="Times New Roman"/>
                <w:color w:val="auto"/>
                <w:szCs w:val="21"/>
                <w:highlight w:val="none"/>
                <w:lang w:val="en-US" w:eastAsia="zh-CN"/>
              </w:rPr>
              <w:t>审</w:t>
            </w:r>
            <w:r>
              <w:rPr>
                <w:rFonts w:hint="default" w:ascii="Times New Roman" w:hAnsi="Times New Roman" w:cs="Times New Roman"/>
                <w:color w:val="auto"/>
                <w:szCs w:val="21"/>
                <w:highlight w:val="none"/>
              </w:rPr>
              <w:t>委员会对有效</w:t>
            </w:r>
            <w:r>
              <w:rPr>
                <w:rFonts w:hint="default" w:ascii="Times New Roman" w:hAnsi="Times New Roman" w:cs="Times New Roman"/>
                <w:color w:val="auto"/>
                <w:szCs w:val="21"/>
                <w:highlight w:val="none"/>
                <w:lang w:val="en-US" w:eastAsia="zh-CN"/>
              </w:rPr>
              <w:t>比选申请</w:t>
            </w:r>
            <w:r>
              <w:rPr>
                <w:rFonts w:hint="default" w:ascii="Times New Roman" w:hAnsi="Times New Roman" w:cs="Times New Roman"/>
                <w:color w:val="auto"/>
                <w:szCs w:val="21"/>
                <w:highlight w:val="none"/>
              </w:rPr>
              <w:t>是否仍具有竞争性无法达成一致意见的，应当否决全部</w:t>
            </w:r>
            <w:r>
              <w:rPr>
                <w:rFonts w:hint="default" w:ascii="Times New Roman" w:hAnsi="Times New Roman" w:cs="Times New Roman"/>
                <w:color w:val="auto"/>
                <w:szCs w:val="21"/>
                <w:highlight w:val="none"/>
                <w:lang w:val="en-US" w:eastAsia="zh-CN"/>
              </w:rPr>
              <w:t>比选申请</w:t>
            </w:r>
            <w:r>
              <w:rPr>
                <w:rFonts w:hint="default" w:ascii="Times New Roman" w:hAnsi="Times New Roman" w:cs="Times New Roman"/>
                <w:color w:val="auto"/>
                <w:szCs w:val="21"/>
                <w:highlight w:val="none"/>
              </w:rPr>
              <w:t>，并在评</w:t>
            </w:r>
            <w:r>
              <w:rPr>
                <w:rFonts w:hint="eastAsia" w:ascii="Times New Roman" w:hAnsi="Times New Roman" w:cs="Times New Roman"/>
                <w:color w:val="auto"/>
                <w:szCs w:val="21"/>
                <w:highlight w:val="none"/>
                <w:lang w:val="en-US" w:eastAsia="zh-CN"/>
              </w:rPr>
              <w:t>审</w:t>
            </w:r>
            <w:r>
              <w:rPr>
                <w:rFonts w:hint="default" w:ascii="Times New Roman" w:hAnsi="Times New Roman" w:cs="Times New Roman"/>
                <w:color w:val="auto"/>
                <w:szCs w:val="21"/>
                <w:highlight w:val="none"/>
              </w:rPr>
              <w:t>报告中</w:t>
            </w:r>
            <w:r>
              <w:rPr>
                <w:rFonts w:hint="eastAsia" w:ascii="Times New Roman" w:hAnsi="Times New Roman" w:cs="Times New Roman"/>
                <w:color w:val="auto"/>
                <w:szCs w:val="21"/>
                <w:highlight w:val="none"/>
                <w:lang w:eastAsia="zh-CN"/>
              </w:rPr>
              <w:t>作出</w:t>
            </w:r>
            <w:r>
              <w:rPr>
                <w:rFonts w:hint="default" w:ascii="Times New Roman" w:hAnsi="Times New Roman" w:cs="Times New Roman"/>
                <w:color w:val="auto"/>
                <w:szCs w:val="21"/>
                <w:highlight w:val="none"/>
              </w:rPr>
              <w:t>说明。</w:t>
            </w:r>
          </w:p>
        </w:tc>
      </w:tr>
    </w:tbl>
    <w:p w14:paraId="4BCB8A61">
      <w:pPr>
        <w:spacing w:line="500" w:lineRule="exact"/>
        <w:rPr>
          <w:rFonts w:ascii="Times New Roman" w:hAnsi="Times New Roman" w:cs="Times New Roman"/>
          <w:color w:val="000000"/>
          <w:szCs w:val="21"/>
          <w:highlight w:val="none"/>
        </w:rPr>
      </w:pPr>
      <w:r>
        <w:rPr>
          <w:rFonts w:ascii="Times New Roman" w:hAnsi="Times New Roman" w:cs="Times New Roman"/>
          <w:color w:val="000000"/>
          <w:szCs w:val="21"/>
          <w:highlight w:val="none"/>
        </w:rPr>
        <w:t>注：评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办法前附表内容和评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办法不一致的，以评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办法前附表为准。</w:t>
      </w:r>
    </w:p>
    <w:p w14:paraId="4ECB4237">
      <w:pPr>
        <w:widowControl/>
        <w:jc w:val="left"/>
        <w:rPr>
          <w:color w:val="000000"/>
          <w:sz w:val="21"/>
          <w:szCs w:val="21"/>
          <w:highlight w:val="none"/>
        </w:rPr>
      </w:pPr>
      <w:r>
        <w:rPr>
          <w:rFonts w:ascii="Times New Roman" w:hAnsi="Times New Roman" w:cs="Times New Roman"/>
          <w:color w:val="000000"/>
          <w:szCs w:val="21"/>
          <w:highlight w:val="none"/>
        </w:rPr>
        <w:br w:type="page"/>
      </w:r>
      <w:r>
        <w:rPr>
          <w:color w:val="000000"/>
          <w:sz w:val="21"/>
          <w:szCs w:val="21"/>
          <w:highlight w:val="none"/>
        </w:rPr>
        <w:t>1</w:t>
      </w:r>
      <w:r>
        <w:rPr>
          <w:rFonts w:hint="eastAsia"/>
          <w:color w:val="000000"/>
          <w:sz w:val="21"/>
          <w:szCs w:val="21"/>
          <w:highlight w:val="none"/>
          <w:lang w:val="en-US" w:eastAsia="zh-CN"/>
        </w:rPr>
        <w:t>.</w:t>
      </w:r>
      <w:r>
        <w:rPr>
          <w:color w:val="000000"/>
          <w:sz w:val="21"/>
          <w:szCs w:val="21"/>
          <w:highlight w:val="none"/>
        </w:rPr>
        <w:t>评审方法</w:t>
      </w:r>
    </w:p>
    <w:p w14:paraId="5A47C8AE">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本次评审采用</w:t>
      </w:r>
      <w:r>
        <w:rPr>
          <w:rFonts w:ascii="Times New Roman" w:hAnsi="Times New Roman" w:cs="Times New Roman"/>
          <w:b/>
          <w:color w:val="000000"/>
          <w:szCs w:val="21"/>
          <w:highlight w:val="none"/>
        </w:rPr>
        <w:t>综合评</w:t>
      </w:r>
      <w:r>
        <w:rPr>
          <w:rFonts w:hint="eastAsia" w:ascii="Times New Roman" w:hAnsi="Times New Roman" w:cs="Times New Roman"/>
          <w:b/>
          <w:color w:val="000000"/>
          <w:szCs w:val="21"/>
          <w:highlight w:val="none"/>
        </w:rPr>
        <w:t>分</w:t>
      </w:r>
      <w:r>
        <w:rPr>
          <w:rFonts w:ascii="Times New Roman" w:hAnsi="Times New Roman" w:cs="Times New Roman"/>
          <w:b/>
          <w:color w:val="000000"/>
          <w:szCs w:val="21"/>
          <w:highlight w:val="none"/>
        </w:rPr>
        <w:t>法</w:t>
      </w:r>
      <w:r>
        <w:rPr>
          <w:rFonts w:ascii="Times New Roman" w:hAnsi="Times New Roman" w:cs="Times New Roman"/>
          <w:color w:val="000000"/>
          <w:szCs w:val="21"/>
          <w:highlight w:val="none"/>
        </w:rPr>
        <w:t>。评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委员会对满足</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文件实质要求的</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，根据本章第2.2 款规定的量化因素及量化标准进行价格折算，按照</w:t>
      </w:r>
      <w:r>
        <w:rPr>
          <w:rFonts w:ascii="Times New Roman" w:hAnsi="Times New Roman" w:cs="Times New Roman"/>
          <w:b/>
          <w:color w:val="000000"/>
          <w:highlight w:val="none"/>
        </w:rPr>
        <w:t>综合得分</w:t>
      </w:r>
      <w:r>
        <w:rPr>
          <w:rFonts w:ascii="Times New Roman" w:hAnsi="Times New Roman" w:cs="Times New Roman"/>
          <w:color w:val="000000"/>
          <w:highlight w:val="none"/>
        </w:rPr>
        <w:t>由高至低的</w:t>
      </w:r>
      <w:r>
        <w:rPr>
          <w:rFonts w:ascii="Times New Roman" w:hAnsi="Times New Roman" w:cs="Times New Roman"/>
          <w:color w:val="000000"/>
          <w:szCs w:val="21"/>
          <w:highlight w:val="none"/>
        </w:rPr>
        <w:t>顺序确定</w:t>
      </w:r>
      <w:r>
        <w:rPr>
          <w:rFonts w:hint="eastAsia" w:ascii="Times New Roman" w:hAnsi="Times New Roman" w:cs="Times New Roman"/>
          <w:color w:val="000000"/>
          <w:szCs w:val="21"/>
          <w:highlight w:val="none"/>
        </w:rPr>
        <w:t>中选</w:t>
      </w:r>
      <w:r>
        <w:rPr>
          <w:rFonts w:ascii="Times New Roman" w:hAnsi="Times New Roman" w:cs="Times New Roman"/>
          <w:color w:val="000000"/>
          <w:szCs w:val="21"/>
          <w:highlight w:val="none"/>
        </w:rPr>
        <w:t>候选人，但</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报价低于其成本的除外。</w:t>
      </w:r>
    </w:p>
    <w:p w14:paraId="6E69AB0A">
      <w:pPr>
        <w:pStyle w:val="4"/>
        <w:rPr>
          <w:color w:val="000000"/>
          <w:sz w:val="21"/>
          <w:szCs w:val="21"/>
          <w:highlight w:val="none"/>
        </w:rPr>
      </w:pPr>
      <w:r>
        <w:rPr>
          <w:color w:val="000000"/>
          <w:sz w:val="21"/>
          <w:szCs w:val="21"/>
          <w:highlight w:val="none"/>
        </w:rPr>
        <w:t>2</w:t>
      </w:r>
      <w:r>
        <w:rPr>
          <w:rFonts w:hint="eastAsia"/>
          <w:color w:val="000000"/>
          <w:sz w:val="21"/>
          <w:szCs w:val="21"/>
          <w:highlight w:val="none"/>
          <w:lang w:val="en-US" w:eastAsia="zh-CN"/>
        </w:rPr>
        <w:t>.</w:t>
      </w:r>
      <w:r>
        <w:rPr>
          <w:color w:val="000000"/>
          <w:sz w:val="21"/>
          <w:szCs w:val="21"/>
          <w:highlight w:val="none"/>
        </w:rPr>
        <w:t>评审标准</w:t>
      </w:r>
    </w:p>
    <w:p w14:paraId="253830B0">
      <w:pPr>
        <w:pStyle w:val="5"/>
        <w:rPr>
          <w:rFonts w:ascii="Times New Roman" w:hAnsi="Times New Roman"/>
          <w:color w:val="000000"/>
          <w:szCs w:val="21"/>
          <w:highlight w:val="none"/>
        </w:rPr>
      </w:pPr>
      <w:r>
        <w:rPr>
          <w:rFonts w:ascii="Times New Roman" w:hAnsi="Times New Roman"/>
          <w:color w:val="000000"/>
          <w:szCs w:val="21"/>
          <w:highlight w:val="none"/>
        </w:rPr>
        <w:t>2.1 初步评审标准</w:t>
      </w:r>
    </w:p>
    <w:p w14:paraId="3A873364">
      <w:pPr>
        <w:pStyle w:val="5"/>
        <w:ind w:firstLine="420" w:firstLineChars="200"/>
        <w:rPr>
          <w:rFonts w:ascii="Times New Roman" w:hAnsi="Times New Roman"/>
          <w:b w:val="0"/>
          <w:bCs w:val="0"/>
          <w:color w:val="000000"/>
          <w:szCs w:val="21"/>
          <w:highlight w:val="none"/>
        </w:rPr>
      </w:pPr>
      <w:r>
        <w:rPr>
          <w:rFonts w:ascii="Times New Roman" w:hAnsi="Times New Roman"/>
          <w:b w:val="0"/>
          <w:bCs w:val="0"/>
          <w:color w:val="000000"/>
          <w:szCs w:val="21"/>
          <w:highlight w:val="none"/>
        </w:rPr>
        <w:t>2.1.1 形式评审标准：见</w:t>
      </w:r>
      <w:r>
        <w:rPr>
          <w:rFonts w:hint="eastAsia" w:ascii="Times New Roman" w:hAnsi="Times New Roman"/>
          <w:b w:val="0"/>
          <w:bCs w:val="0"/>
          <w:color w:val="000000"/>
          <w:szCs w:val="21"/>
          <w:highlight w:val="none"/>
          <w:lang w:eastAsia="zh-CN"/>
        </w:rPr>
        <w:t>评审</w:t>
      </w:r>
      <w:r>
        <w:rPr>
          <w:rFonts w:ascii="Times New Roman" w:hAnsi="Times New Roman"/>
          <w:b w:val="0"/>
          <w:bCs w:val="0"/>
          <w:color w:val="000000"/>
          <w:szCs w:val="21"/>
          <w:highlight w:val="none"/>
        </w:rPr>
        <w:t>办法前附表。</w:t>
      </w:r>
    </w:p>
    <w:p w14:paraId="60D083DC">
      <w:pPr>
        <w:pStyle w:val="5"/>
        <w:ind w:firstLine="420" w:firstLineChars="200"/>
        <w:rPr>
          <w:rFonts w:ascii="Times New Roman" w:hAnsi="Times New Roman"/>
          <w:b w:val="0"/>
          <w:bCs w:val="0"/>
          <w:color w:val="000000"/>
          <w:szCs w:val="21"/>
          <w:highlight w:val="none"/>
        </w:rPr>
      </w:pPr>
      <w:r>
        <w:rPr>
          <w:rFonts w:ascii="Times New Roman" w:hAnsi="Times New Roman"/>
          <w:b w:val="0"/>
          <w:bCs w:val="0"/>
          <w:color w:val="000000"/>
          <w:szCs w:val="21"/>
          <w:highlight w:val="none"/>
        </w:rPr>
        <w:t>2.1.2 资格评审标准：见</w:t>
      </w:r>
      <w:r>
        <w:rPr>
          <w:rFonts w:hint="eastAsia" w:ascii="Times New Roman" w:hAnsi="Times New Roman"/>
          <w:b w:val="0"/>
          <w:bCs w:val="0"/>
          <w:color w:val="000000"/>
          <w:szCs w:val="21"/>
          <w:highlight w:val="none"/>
          <w:lang w:eastAsia="zh-CN"/>
        </w:rPr>
        <w:t>评审</w:t>
      </w:r>
      <w:r>
        <w:rPr>
          <w:rFonts w:ascii="Times New Roman" w:hAnsi="Times New Roman"/>
          <w:b w:val="0"/>
          <w:bCs w:val="0"/>
          <w:color w:val="000000"/>
          <w:szCs w:val="21"/>
          <w:highlight w:val="none"/>
        </w:rPr>
        <w:t>办法前附表。</w:t>
      </w:r>
    </w:p>
    <w:p w14:paraId="4064655C">
      <w:pPr>
        <w:pStyle w:val="5"/>
        <w:ind w:firstLine="420" w:firstLineChars="200"/>
        <w:rPr>
          <w:rFonts w:ascii="Times New Roman" w:hAnsi="Times New Roman"/>
          <w:b w:val="0"/>
          <w:bCs w:val="0"/>
          <w:color w:val="000000"/>
          <w:szCs w:val="21"/>
          <w:highlight w:val="none"/>
        </w:rPr>
      </w:pPr>
      <w:r>
        <w:rPr>
          <w:rFonts w:ascii="Times New Roman" w:hAnsi="Times New Roman"/>
          <w:b w:val="0"/>
          <w:bCs w:val="0"/>
          <w:color w:val="000000"/>
          <w:szCs w:val="21"/>
          <w:highlight w:val="none"/>
        </w:rPr>
        <w:t>2.1.3 响应性评审标准：见</w:t>
      </w:r>
      <w:r>
        <w:rPr>
          <w:rFonts w:hint="eastAsia" w:ascii="Times New Roman" w:hAnsi="Times New Roman"/>
          <w:b w:val="0"/>
          <w:bCs w:val="0"/>
          <w:color w:val="000000"/>
          <w:szCs w:val="21"/>
          <w:highlight w:val="none"/>
          <w:lang w:eastAsia="zh-CN"/>
        </w:rPr>
        <w:t>评审</w:t>
      </w:r>
      <w:r>
        <w:rPr>
          <w:rFonts w:ascii="Times New Roman" w:hAnsi="Times New Roman"/>
          <w:b w:val="0"/>
          <w:bCs w:val="0"/>
          <w:color w:val="000000"/>
          <w:szCs w:val="21"/>
          <w:highlight w:val="none"/>
        </w:rPr>
        <w:t>办法前附表。</w:t>
      </w:r>
    </w:p>
    <w:p w14:paraId="4F599B6D">
      <w:pPr>
        <w:pStyle w:val="5"/>
        <w:rPr>
          <w:rFonts w:ascii="Times New Roman" w:hAnsi="Times New Roman"/>
          <w:color w:val="000000"/>
          <w:highlight w:val="none"/>
        </w:rPr>
      </w:pPr>
      <w:r>
        <w:rPr>
          <w:rFonts w:ascii="Times New Roman" w:hAnsi="Times New Roman"/>
          <w:color w:val="000000"/>
          <w:highlight w:val="none"/>
        </w:rPr>
        <w:t>2.2 分值构成与综合评分标准</w:t>
      </w:r>
    </w:p>
    <w:p w14:paraId="6A08C03C">
      <w:pPr>
        <w:pStyle w:val="5"/>
        <w:ind w:firstLine="420" w:firstLineChars="200"/>
        <w:rPr>
          <w:rFonts w:ascii="Times New Roman" w:hAnsi="Times New Roman"/>
          <w:b w:val="0"/>
          <w:bCs w:val="0"/>
          <w:color w:val="000000"/>
          <w:szCs w:val="21"/>
          <w:highlight w:val="none"/>
        </w:rPr>
      </w:pPr>
      <w:r>
        <w:rPr>
          <w:rFonts w:ascii="Times New Roman" w:hAnsi="Times New Roman"/>
          <w:b w:val="0"/>
          <w:bCs w:val="0"/>
          <w:color w:val="000000"/>
          <w:szCs w:val="21"/>
          <w:highlight w:val="none"/>
        </w:rPr>
        <w:t>2.2.1 分值构成</w:t>
      </w:r>
    </w:p>
    <w:p w14:paraId="42ED0DAC">
      <w:pPr>
        <w:pStyle w:val="5"/>
        <w:spacing w:line="480" w:lineRule="exact"/>
        <w:ind w:firstLine="420" w:firstLineChars="200"/>
        <w:rPr>
          <w:rFonts w:hint="default" w:ascii="Times New Roman" w:hAnsi="Times New Roman" w:eastAsia="宋体" w:cs="Times New Roman"/>
          <w:b w:val="0"/>
          <w:bCs w:val="0"/>
          <w:color w:val="000000"/>
          <w:szCs w:val="21"/>
          <w:highlight w:val="none"/>
          <w:lang w:val="en-US" w:eastAsia="zh-CN"/>
        </w:rPr>
      </w:pPr>
      <w:r>
        <w:rPr>
          <w:rFonts w:hint="default" w:ascii="Times New Roman" w:hAnsi="Times New Roman" w:eastAsia="宋体" w:cs="Times New Roman"/>
          <w:b w:val="0"/>
          <w:bCs w:val="0"/>
          <w:color w:val="000000"/>
          <w:szCs w:val="21"/>
          <w:highlight w:val="none"/>
          <w:lang w:val="en-US" w:eastAsia="zh-CN"/>
        </w:rPr>
        <w:t>（1）商务部分：30分</w:t>
      </w:r>
    </w:p>
    <w:p w14:paraId="795121F6">
      <w:pPr>
        <w:pStyle w:val="5"/>
        <w:spacing w:line="480" w:lineRule="exact"/>
        <w:ind w:firstLine="420" w:firstLineChars="200"/>
        <w:rPr>
          <w:rFonts w:hint="default" w:ascii="Times New Roman" w:hAnsi="Times New Roman" w:eastAsia="宋体" w:cs="Times New Roman"/>
          <w:b w:val="0"/>
          <w:bCs w:val="0"/>
          <w:color w:val="000000"/>
          <w:szCs w:val="21"/>
          <w:highlight w:val="none"/>
          <w:lang w:val="en-US" w:eastAsia="zh-CN"/>
        </w:rPr>
      </w:pPr>
      <w:r>
        <w:rPr>
          <w:rFonts w:hint="default" w:ascii="Times New Roman" w:hAnsi="Times New Roman" w:eastAsia="宋体" w:cs="Times New Roman"/>
          <w:b w:val="0"/>
          <w:bCs w:val="0"/>
          <w:color w:val="000000"/>
          <w:szCs w:val="21"/>
          <w:highlight w:val="none"/>
          <w:lang w:val="en-US" w:eastAsia="zh-CN"/>
        </w:rPr>
        <w:t>（2）技术部分：20分</w:t>
      </w:r>
    </w:p>
    <w:p w14:paraId="015AFD39">
      <w:pPr>
        <w:pStyle w:val="5"/>
        <w:ind w:firstLine="420" w:firstLineChars="200"/>
        <w:rPr>
          <w:rFonts w:ascii="Times New Roman" w:hAnsi="Times New Roman"/>
          <w:b w:val="0"/>
          <w:bCs w:val="0"/>
          <w:color w:val="000000"/>
          <w:szCs w:val="21"/>
          <w:highlight w:val="none"/>
        </w:rPr>
      </w:pPr>
      <w:r>
        <w:rPr>
          <w:rFonts w:hint="default" w:ascii="Times New Roman" w:hAnsi="Times New Roman" w:eastAsia="宋体" w:cs="Times New Roman"/>
          <w:b w:val="0"/>
          <w:bCs w:val="0"/>
          <w:color w:val="000000"/>
          <w:szCs w:val="21"/>
          <w:highlight w:val="none"/>
          <w:lang w:val="en-US" w:eastAsia="zh-CN"/>
        </w:rPr>
        <w:t>（3）</w:t>
      </w:r>
      <w:r>
        <w:rPr>
          <w:rFonts w:hint="eastAsia" w:ascii="Times New Roman" w:hAnsi="Times New Roman" w:eastAsia="宋体" w:cs="Times New Roman"/>
          <w:b w:val="0"/>
          <w:bCs w:val="0"/>
          <w:color w:val="000000"/>
          <w:szCs w:val="21"/>
          <w:highlight w:val="none"/>
          <w:lang w:val="en-US" w:eastAsia="zh-CN"/>
        </w:rPr>
        <w:t>比选申请</w:t>
      </w:r>
      <w:r>
        <w:rPr>
          <w:rFonts w:hint="default" w:ascii="Times New Roman" w:hAnsi="Times New Roman" w:eastAsia="宋体" w:cs="Times New Roman"/>
          <w:b w:val="0"/>
          <w:bCs w:val="0"/>
          <w:color w:val="000000"/>
          <w:szCs w:val="21"/>
          <w:highlight w:val="none"/>
          <w:lang w:val="en-US" w:eastAsia="zh-CN"/>
        </w:rPr>
        <w:t>报价：50分</w:t>
      </w:r>
    </w:p>
    <w:p w14:paraId="099236EA">
      <w:pPr>
        <w:pStyle w:val="5"/>
        <w:ind w:firstLine="420" w:firstLineChars="200"/>
        <w:rPr>
          <w:rFonts w:ascii="Times New Roman" w:hAnsi="Times New Roman"/>
          <w:b w:val="0"/>
          <w:bCs w:val="0"/>
          <w:color w:val="000000"/>
          <w:szCs w:val="21"/>
          <w:highlight w:val="none"/>
        </w:rPr>
      </w:pPr>
      <w:r>
        <w:rPr>
          <w:rFonts w:ascii="Times New Roman" w:hAnsi="Times New Roman"/>
          <w:b w:val="0"/>
          <w:bCs w:val="0"/>
          <w:color w:val="000000"/>
          <w:szCs w:val="21"/>
          <w:highlight w:val="none"/>
        </w:rPr>
        <w:t>2.2.2 评分标准</w:t>
      </w:r>
    </w:p>
    <w:p w14:paraId="5ED2F2B2">
      <w:pPr>
        <w:pStyle w:val="5"/>
        <w:ind w:firstLine="420" w:firstLineChars="200"/>
        <w:rPr>
          <w:rFonts w:ascii="Times New Roman" w:hAnsi="Times New Roman"/>
          <w:b w:val="0"/>
          <w:bCs w:val="0"/>
          <w:color w:val="000000"/>
          <w:szCs w:val="21"/>
          <w:highlight w:val="none"/>
        </w:rPr>
      </w:pPr>
      <w:r>
        <w:rPr>
          <w:rFonts w:ascii="Times New Roman" w:hAnsi="Times New Roman"/>
          <w:b w:val="0"/>
          <w:bCs w:val="0"/>
          <w:color w:val="000000"/>
          <w:szCs w:val="21"/>
          <w:highlight w:val="none"/>
        </w:rPr>
        <w:t>(1）</w:t>
      </w:r>
      <w:r>
        <w:rPr>
          <w:rFonts w:hint="default" w:ascii="Times New Roman" w:hAnsi="Times New Roman" w:eastAsia="宋体" w:cs="Times New Roman"/>
          <w:b w:val="0"/>
          <w:bCs w:val="0"/>
          <w:color w:val="000000"/>
          <w:szCs w:val="21"/>
          <w:highlight w:val="none"/>
          <w:lang w:val="en-US" w:eastAsia="zh-CN"/>
        </w:rPr>
        <w:t>商务部分</w:t>
      </w:r>
      <w:r>
        <w:rPr>
          <w:rFonts w:ascii="Times New Roman" w:hAnsi="Times New Roman"/>
          <w:b w:val="0"/>
          <w:bCs w:val="0"/>
          <w:color w:val="000000"/>
          <w:szCs w:val="21"/>
          <w:highlight w:val="none"/>
        </w:rPr>
        <w:t>评分标准：见</w:t>
      </w:r>
      <w:r>
        <w:rPr>
          <w:rFonts w:hint="eastAsia" w:ascii="Times New Roman" w:hAnsi="Times New Roman"/>
          <w:b w:val="0"/>
          <w:bCs w:val="0"/>
          <w:color w:val="000000"/>
          <w:szCs w:val="21"/>
          <w:highlight w:val="none"/>
          <w:lang w:eastAsia="zh-CN"/>
        </w:rPr>
        <w:t>评审</w:t>
      </w:r>
      <w:r>
        <w:rPr>
          <w:rFonts w:ascii="Times New Roman" w:hAnsi="Times New Roman"/>
          <w:b w:val="0"/>
          <w:bCs w:val="0"/>
          <w:color w:val="000000"/>
          <w:szCs w:val="21"/>
          <w:highlight w:val="none"/>
        </w:rPr>
        <w:t>办法前附表。</w:t>
      </w:r>
    </w:p>
    <w:p w14:paraId="1CC30022">
      <w:pPr>
        <w:pStyle w:val="5"/>
        <w:ind w:firstLine="420" w:firstLineChars="200"/>
        <w:rPr>
          <w:rFonts w:ascii="Times New Roman" w:hAnsi="Times New Roman"/>
          <w:b w:val="0"/>
          <w:bCs w:val="0"/>
          <w:color w:val="000000"/>
          <w:szCs w:val="21"/>
          <w:highlight w:val="none"/>
        </w:rPr>
      </w:pPr>
      <w:r>
        <w:rPr>
          <w:rFonts w:ascii="Times New Roman" w:hAnsi="Times New Roman"/>
          <w:b w:val="0"/>
          <w:bCs w:val="0"/>
          <w:color w:val="000000"/>
          <w:szCs w:val="21"/>
          <w:highlight w:val="none"/>
        </w:rPr>
        <w:t>(2）</w:t>
      </w:r>
      <w:r>
        <w:rPr>
          <w:rFonts w:hint="default" w:ascii="Times New Roman" w:hAnsi="Times New Roman" w:eastAsia="宋体" w:cs="Times New Roman"/>
          <w:b w:val="0"/>
          <w:bCs w:val="0"/>
          <w:color w:val="000000"/>
          <w:szCs w:val="21"/>
          <w:highlight w:val="none"/>
          <w:lang w:val="en-US" w:eastAsia="zh-CN"/>
        </w:rPr>
        <w:t>技术部分</w:t>
      </w:r>
      <w:r>
        <w:rPr>
          <w:rFonts w:ascii="Times New Roman" w:hAnsi="Times New Roman"/>
          <w:b w:val="0"/>
          <w:bCs w:val="0"/>
          <w:color w:val="000000"/>
          <w:szCs w:val="21"/>
          <w:highlight w:val="none"/>
        </w:rPr>
        <w:t>评分标准：见</w:t>
      </w:r>
      <w:r>
        <w:rPr>
          <w:rFonts w:hint="eastAsia" w:ascii="Times New Roman" w:hAnsi="Times New Roman"/>
          <w:b w:val="0"/>
          <w:bCs w:val="0"/>
          <w:color w:val="000000"/>
          <w:szCs w:val="21"/>
          <w:highlight w:val="none"/>
          <w:lang w:eastAsia="zh-CN"/>
        </w:rPr>
        <w:t>评审</w:t>
      </w:r>
      <w:r>
        <w:rPr>
          <w:rFonts w:ascii="Times New Roman" w:hAnsi="Times New Roman"/>
          <w:b w:val="0"/>
          <w:bCs w:val="0"/>
          <w:color w:val="000000"/>
          <w:szCs w:val="21"/>
          <w:highlight w:val="none"/>
        </w:rPr>
        <w:t>办法前附表。</w:t>
      </w:r>
    </w:p>
    <w:p w14:paraId="30A5563C">
      <w:pPr>
        <w:pStyle w:val="5"/>
        <w:ind w:firstLine="420" w:firstLineChars="200"/>
        <w:rPr>
          <w:rFonts w:ascii="Times New Roman" w:hAnsi="Times New Roman"/>
          <w:b w:val="0"/>
          <w:bCs w:val="0"/>
          <w:color w:val="000000"/>
          <w:szCs w:val="21"/>
          <w:highlight w:val="none"/>
        </w:rPr>
      </w:pPr>
      <w:r>
        <w:rPr>
          <w:rFonts w:ascii="Times New Roman" w:hAnsi="Times New Roman"/>
          <w:b w:val="0"/>
          <w:bCs w:val="0"/>
          <w:color w:val="000000"/>
          <w:szCs w:val="21"/>
          <w:highlight w:val="none"/>
        </w:rPr>
        <w:t>(3）</w:t>
      </w:r>
      <w:r>
        <w:rPr>
          <w:rFonts w:hint="eastAsia" w:ascii="Times New Roman" w:hAnsi="Times New Roman"/>
          <w:b w:val="0"/>
          <w:bCs w:val="0"/>
          <w:color w:val="000000"/>
          <w:szCs w:val="21"/>
          <w:highlight w:val="none"/>
        </w:rPr>
        <w:t>比选申请</w:t>
      </w:r>
      <w:r>
        <w:rPr>
          <w:rFonts w:ascii="Times New Roman" w:hAnsi="Times New Roman"/>
          <w:b w:val="0"/>
          <w:bCs w:val="0"/>
          <w:color w:val="000000"/>
          <w:szCs w:val="21"/>
          <w:highlight w:val="none"/>
        </w:rPr>
        <w:t>报价评分标准：见</w:t>
      </w:r>
      <w:r>
        <w:rPr>
          <w:rFonts w:hint="eastAsia" w:ascii="Times New Roman" w:hAnsi="Times New Roman"/>
          <w:b w:val="0"/>
          <w:bCs w:val="0"/>
          <w:color w:val="000000"/>
          <w:szCs w:val="21"/>
          <w:highlight w:val="none"/>
          <w:lang w:eastAsia="zh-CN"/>
        </w:rPr>
        <w:t>评审</w:t>
      </w:r>
      <w:r>
        <w:rPr>
          <w:rFonts w:ascii="Times New Roman" w:hAnsi="Times New Roman"/>
          <w:b w:val="0"/>
          <w:bCs w:val="0"/>
          <w:color w:val="000000"/>
          <w:szCs w:val="21"/>
          <w:highlight w:val="none"/>
        </w:rPr>
        <w:t>办法前附表。</w:t>
      </w:r>
    </w:p>
    <w:p w14:paraId="7BE3A068">
      <w:pPr>
        <w:pStyle w:val="4"/>
        <w:rPr>
          <w:color w:val="000000"/>
          <w:sz w:val="21"/>
          <w:szCs w:val="21"/>
          <w:highlight w:val="none"/>
        </w:rPr>
      </w:pPr>
      <w:r>
        <w:rPr>
          <w:color w:val="000000"/>
          <w:sz w:val="21"/>
          <w:szCs w:val="21"/>
          <w:highlight w:val="none"/>
        </w:rPr>
        <w:t>3</w:t>
      </w:r>
      <w:r>
        <w:rPr>
          <w:rFonts w:hint="eastAsia"/>
          <w:color w:val="000000"/>
          <w:sz w:val="21"/>
          <w:szCs w:val="21"/>
          <w:highlight w:val="none"/>
          <w:lang w:val="en-US" w:eastAsia="zh-CN"/>
        </w:rPr>
        <w:t>.</w:t>
      </w:r>
      <w:r>
        <w:rPr>
          <w:color w:val="000000"/>
          <w:sz w:val="21"/>
          <w:szCs w:val="21"/>
          <w:highlight w:val="none"/>
        </w:rPr>
        <w:t>评审程序</w:t>
      </w:r>
    </w:p>
    <w:p w14:paraId="398E0159">
      <w:pPr>
        <w:pStyle w:val="5"/>
        <w:ind w:firstLine="420" w:firstLineChars="200"/>
        <w:rPr>
          <w:rFonts w:ascii="Times New Roman" w:hAnsi="Times New Roman"/>
          <w:color w:val="000000"/>
          <w:highlight w:val="none"/>
        </w:rPr>
      </w:pPr>
      <w:r>
        <w:rPr>
          <w:rFonts w:ascii="Times New Roman" w:hAnsi="Times New Roman"/>
          <w:color w:val="000000"/>
          <w:highlight w:val="none"/>
        </w:rPr>
        <w:t>3.1 初步评审</w:t>
      </w:r>
    </w:p>
    <w:p w14:paraId="39A4825B">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3.1.1 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委员会可以要求</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提交第二章“</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须知”第3.5.1 项至第3.5.5 项规定的有关证明和证件的原件，以便核验。评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委员会依据本章第2.1款规定的标准对</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进行初步评审。有一项不符合评审标准的，作否决处理。</w:t>
      </w:r>
    </w:p>
    <w:p w14:paraId="2E59855C">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3.1.2 </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有以下情形之一的，其</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作无效处理：</w:t>
      </w:r>
    </w:p>
    <w:p w14:paraId="6F3C9114">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(l）串通</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或弄虚作假或有其他违法行为的；</w:t>
      </w:r>
    </w:p>
    <w:p w14:paraId="11FFD816">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(2）不按评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委员会要求澄清、说明或补正的。</w:t>
      </w:r>
    </w:p>
    <w:p w14:paraId="414DE1B7">
      <w:pPr>
        <w:pStyle w:val="5"/>
        <w:ind w:firstLine="420" w:firstLineChars="200"/>
        <w:rPr>
          <w:rFonts w:ascii="Times New Roman" w:hAnsi="Times New Roman"/>
          <w:color w:val="000000"/>
          <w:highlight w:val="none"/>
        </w:rPr>
      </w:pPr>
      <w:r>
        <w:rPr>
          <w:rFonts w:ascii="Times New Roman" w:hAnsi="Times New Roman"/>
          <w:color w:val="000000"/>
          <w:highlight w:val="none"/>
        </w:rPr>
        <w:t>3.2 详细评审</w:t>
      </w:r>
    </w:p>
    <w:p w14:paraId="66D12883">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3.2.1 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委员会按本章规定的量化因素和分值进行打分，并计算出综合得分。</w:t>
      </w:r>
    </w:p>
    <w:p w14:paraId="4201CD00">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(1）按本章规定的评审因素和分值对</w:t>
      </w:r>
      <w:r>
        <w:rPr>
          <w:rFonts w:hint="default" w:ascii="Times New Roman" w:hAnsi="Times New Roman" w:eastAsia="宋体" w:cs="Times New Roman"/>
          <w:b w:val="0"/>
          <w:bCs w:val="0"/>
          <w:color w:val="000000"/>
          <w:szCs w:val="21"/>
          <w:highlight w:val="none"/>
          <w:lang w:val="en-US" w:eastAsia="zh-CN"/>
        </w:rPr>
        <w:t>商务部分</w:t>
      </w:r>
      <w:r>
        <w:rPr>
          <w:rFonts w:ascii="Times New Roman" w:hAnsi="Times New Roman" w:cs="Times New Roman"/>
          <w:color w:val="000000"/>
          <w:szCs w:val="21"/>
          <w:highlight w:val="none"/>
        </w:rPr>
        <w:t>计算出得分A。</w:t>
      </w:r>
    </w:p>
    <w:p w14:paraId="57AE3BD6">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(2）按本章规定的评审因素和分值对</w:t>
      </w:r>
      <w:r>
        <w:rPr>
          <w:rFonts w:hint="default" w:ascii="Times New Roman" w:hAnsi="Times New Roman" w:eastAsia="宋体" w:cs="Times New Roman"/>
          <w:b w:val="0"/>
          <w:bCs w:val="0"/>
          <w:color w:val="000000"/>
          <w:szCs w:val="21"/>
          <w:highlight w:val="none"/>
          <w:lang w:val="en-US" w:eastAsia="zh-CN"/>
        </w:rPr>
        <w:t>技术部分</w:t>
      </w:r>
      <w:r>
        <w:rPr>
          <w:rFonts w:ascii="Times New Roman" w:hAnsi="Times New Roman" w:cs="Times New Roman"/>
          <w:color w:val="000000"/>
          <w:szCs w:val="21"/>
          <w:highlight w:val="none"/>
        </w:rPr>
        <w:t>计算出得分B。</w:t>
      </w:r>
    </w:p>
    <w:p w14:paraId="29685217">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(3）按本章规定的评审因素和分值对</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报价计算出得分C。</w:t>
      </w:r>
    </w:p>
    <w:p w14:paraId="5914DDA1">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3.2.2 评分分值计算保留小数点后两位，小数点后第三位“四舍五入”。</w:t>
      </w:r>
    </w:p>
    <w:p w14:paraId="5BB5B125">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3.2.3 </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综合得分＝A 十B 十C 。</w:t>
      </w:r>
    </w:p>
    <w:p w14:paraId="65324558">
      <w:pPr>
        <w:spacing w:line="360" w:lineRule="auto"/>
        <w:ind w:firstLine="420" w:firstLineChars="200"/>
        <w:rPr>
          <w:rFonts w:ascii="Times New Roman" w:hAnsi="Times New Roman" w:cs="Times New Roman"/>
          <w:b/>
          <w:highlight w:val="none"/>
        </w:rPr>
      </w:pPr>
      <w:r>
        <w:rPr>
          <w:rFonts w:ascii="Times New Roman" w:hAnsi="Times New Roman" w:cs="Times New Roman"/>
          <w:b/>
          <w:highlight w:val="none"/>
        </w:rPr>
        <w:t>3.3</w:t>
      </w:r>
      <w:r>
        <w:rPr>
          <w:rFonts w:hint="eastAsia" w:ascii="Times New Roman" w:hAnsi="Times New Roman" w:cs="Times New Roman"/>
          <w:b/>
          <w:highlight w:val="none"/>
        </w:rPr>
        <w:t>比选申请</w:t>
      </w:r>
      <w:r>
        <w:rPr>
          <w:rFonts w:ascii="Times New Roman" w:hAnsi="Times New Roman" w:cs="Times New Roman"/>
          <w:b/>
          <w:highlight w:val="none"/>
        </w:rPr>
        <w:t>报价文件的澄清和说明</w:t>
      </w:r>
    </w:p>
    <w:p w14:paraId="1B868C7D">
      <w:pPr>
        <w:autoSpaceDE w:val="0"/>
        <w:autoSpaceDN w:val="0"/>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3.3.1 在评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过程中，评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委员会可以书面形式要求</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对所提交</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中含义不明确的内容、明显文字或者计算错误进行书面澄清或说明。评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委员会不接受</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主动提出的澄清、说明。</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不按评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委员会要求澄清或说明的，评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委员会应否决其</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w:t>
      </w:r>
    </w:p>
    <w:p w14:paraId="4271F739">
      <w:pPr>
        <w:autoSpaceDE w:val="0"/>
        <w:autoSpaceDN w:val="0"/>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3.3.2 澄清和说明不得超出</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的范围或者改变</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的实质性内容(算术性错误修正的除外)。</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的书面澄清、说明属于</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的组成部分。</w:t>
      </w:r>
    </w:p>
    <w:p w14:paraId="51F4C1EA">
      <w:pPr>
        <w:autoSpaceDE w:val="0"/>
        <w:autoSpaceDN w:val="0"/>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3.3.3 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委员会不得暗示或者诱导</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作出澄清、说明，对</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提交的澄清、说明有疑问的，可以要求</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进一步澄清或说明，直至满足评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委员会的要求。</w:t>
      </w:r>
    </w:p>
    <w:p w14:paraId="36789718">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3.3.4 凡超出</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文件规定的或给发包人带来未曾要求的利益的变化、偏差或其他因素在评</w:t>
      </w:r>
      <w:r>
        <w:rPr>
          <w:rFonts w:hint="eastAsia" w:ascii="Times New Roman" w:hAnsi="Times New Roman" w:cs="Times New Roman"/>
          <w:color w:val="000000"/>
          <w:szCs w:val="21"/>
          <w:highlight w:val="none"/>
          <w:lang w:val="en-US" w:eastAsia="zh-CN"/>
        </w:rPr>
        <w:t>审</w:t>
      </w:r>
      <w:r>
        <w:rPr>
          <w:rFonts w:ascii="Times New Roman" w:hAnsi="Times New Roman" w:cs="Times New Roman"/>
          <w:color w:val="000000"/>
          <w:szCs w:val="21"/>
          <w:highlight w:val="none"/>
        </w:rPr>
        <w:t>时不予考虑。</w:t>
      </w:r>
    </w:p>
    <w:p w14:paraId="29EC5F10">
      <w:pPr>
        <w:pStyle w:val="11"/>
        <w:spacing w:line="360" w:lineRule="auto"/>
        <w:ind w:firstLine="420" w:firstLineChars="200"/>
        <w:rPr>
          <w:rFonts w:ascii="Times New Roman" w:hAnsi="Times New Roman" w:cs="Times New Roman"/>
          <w:b/>
          <w:highlight w:val="none"/>
        </w:rPr>
      </w:pPr>
      <w:r>
        <w:rPr>
          <w:rFonts w:ascii="Times New Roman" w:hAnsi="Times New Roman" w:cs="Times New Roman"/>
          <w:b/>
          <w:highlight w:val="none"/>
        </w:rPr>
        <w:t>3.4 否决</w:t>
      </w:r>
      <w:r>
        <w:rPr>
          <w:rFonts w:hint="eastAsia" w:ascii="Times New Roman" w:hAnsi="Times New Roman" w:cs="Times New Roman"/>
          <w:b/>
          <w:highlight w:val="none"/>
        </w:rPr>
        <w:t>比选申请</w:t>
      </w:r>
    </w:p>
    <w:p w14:paraId="2B34343E">
      <w:pPr>
        <w:pStyle w:val="11"/>
        <w:spacing w:line="360" w:lineRule="auto"/>
        <w:ind w:firstLine="411" w:firstLineChars="196"/>
        <w:rPr>
          <w:rFonts w:ascii="Times New Roman" w:hAnsi="Times New Roman" w:cs="Times New Roman"/>
          <w:highlight w:val="none"/>
        </w:rPr>
      </w:pPr>
      <w:r>
        <w:rPr>
          <w:rFonts w:ascii="Times New Roman" w:hAnsi="Times New Roman" w:cs="Times New Roman"/>
          <w:highlight w:val="none"/>
        </w:rPr>
        <w:t>本章评</w:t>
      </w:r>
      <w:r>
        <w:rPr>
          <w:rFonts w:hint="eastAsia" w:ascii="Times New Roman" w:hAnsi="Times New Roman" w:cs="Times New Roman"/>
          <w:highlight w:val="none"/>
          <w:lang w:val="en-US" w:eastAsia="zh-CN"/>
        </w:rPr>
        <w:t>审</w:t>
      </w:r>
      <w:r>
        <w:rPr>
          <w:rFonts w:ascii="Times New Roman" w:hAnsi="Times New Roman" w:cs="Times New Roman"/>
          <w:highlight w:val="none"/>
        </w:rPr>
        <w:t>办法中未列明的要求，均不得作为否决</w:t>
      </w:r>
      <w:r>
        <w:rPr>
          <w:rFonts w:hint="eastAsia" w:ascii="Times New Roman" w:hAnsi="Times New Roman" w:cs="Times New Roman"/>
          <w:highlight w:val="none"/>
        </w:rPr>
        <w:t>比选申请</w:t>
      </w:r>
      <w:r>
        <w:rPr>
          <w:rFonts w:ascii="Times New Roman" w:hAnsi="Times New Roman" w:cs="Times New Roman"/>
          <w:highlight w:val="none"/>
        </w:rPr>
        <w:t>的条件。</w:t>
      </w:r>
    </w:p>
    <w:p w14:paraId="0004DE34">
      <w:pPr>
        <w:pStyle w:val="11"/>
        <w:spacing w:line="360" w:lineRule="auto"/>
        <w:ind w:firstLine="420" w:firstLineChars="200"/>
        <w:rPr>
          <w:rFonts w:ascii="Times New Roman" w:hAnsi="Times New Roman" w:cs="Times New Roman"/>
          <w:b/>
          <w:highlight w:val="none"/>
        </w:rPr>
      </w:pPr>
      <w:r>
        <w:rPr>
          <w:rFonts w:ascii="Times New Roman" w:hAnsi="Times New Roman" w:cs="Times New Roman"/>
          <w:b/>
          <w:highlight w:val="none"/>
        </w:rPr>
        <w:t>3.5评</w:t>
      </w:r>
      <w:r>
        <w:rPr>
          <w:rFonts w:hint="eastAsia" w:ascii="Times New Roman" w:hAnsi="Times New Roman" w:cs="Times New Roman"/>
          <w:b/>
          <w:highlight w:val="none"/>
          <w:lang w:val="en-US" w:eastAsia="zh-CN"/>
        </w:rPr>
        <w:t>审</w:t>
      </w:r>
      <w:r>
        <w:rPr>
          <w:rFonts w:ascii="Times New Roman" w:hAnsi="Times New Roman" w:cs="Times New Roman"/>
          <w:b/>
          <w:highlight w:val="none"/>
        </w:rPr>
        <w:t>结果</w:t>
      </w:r>
    </w:p>
    <w:p w14:paraId="1454C05E">
      <w:pPr>
        <w:pStyle w:val="11"/>
        <w:spacing w:line="360" w:lineRule="auto"/>
        <w:ind w:firstLine="420" w:firstLineChars="200"/>
        <w:rPr>
          <w:rFonts w:ascii="Times New Roman" w:hAnsi="Times New Roman" w:cs="Times New Roman"/>
          <w:bCs/>
          <w:highlight w:val="none"/>
        </w:rPr>
      </w:pPr>
      <w:r>
        <w:rPr>
          <w:rFonts w:ascii="Times New Roman" w:hAnsi="Times New Roman" w:cs="Times New Roman"/>
          <w:bCs/>
          <w:highlight w:val="none"/>
        </w:rPr>
        <w:t>3.5.1 评</w:t>
      </w:r>
      <w:r>
        <w:rPr>
          <w:rFonts w:hint="eastAsia" w:ascii="Times New Roman" w:hAnsi="Times New Roman" w:cs="Times New Roman"/>
          <w:bCs/>
          <w:highlight w:val="none"/>
          <w:lang w:val="en-US" w:eastAsia="zh-CN"/>
        </w:rPr>
        <w:t>审</w:t>
      </w:r>
      <w:r>
        <w:rPr>
          <w:rFonts w:ascii="Times New Roman" w:hAnsi="Times New Roman" w:cs="Times New Roman"/>
          <w:bCs/>
          <w:highlight w:val="none"/>
        </w:rPr>
        <w:t>委员会将按照评</w:t>
      </w:r>
      <w:r>
        <w:rPr>
          <w:rFonts w:hint="eastAsia" w:ascii="Times New Roman" w:hAnsi="Times New Roman" w:cs="Times New Roman"/>
          <w:bCs/>
          <w:highlight w:val="none"/>
          <w:lang w:val="en-US" w:eastAsia="zh-CN"/>
        </w:rPr>
        <w:t>审</w:t>
      </w:r>
      <w:r>
        <w:rPr>
          <w:rFonts w:ascii="Times New Roman" w:hAnsi="Times New Roman" w:cs="Times New Roman"/>
          <w:bCs/>
          <w:highlight w:val="none"/>
        </w:rPr>
        <w:t>办法前附表内容推荐</w:t>
      </w:r>
      <w:r>
        <w:rPr>
          <w:rFonts w:hint="eastAsia" w:ascii="Times New Roman" w:hAnsi="Times New Roman" w:cs="Times New Roman"/>
          <w:bCs/>
          <w:highlight w:val="none"/>
        </w:rPr>
        <w:t>中选</w:t>
      </w:r>
      <w:r>
        <w:rPr>
          <w:rFonts w:ascii="Times New Roman" w:hAnsi="Times New Roman" w:cs="Times New Roman"/>
          <w:bCs/>
          <w:highlight w:val="none"/>
        </w:rPr>
        <w:t>候选人。</w:t>
      </w:r>
    </w:p>
    <w:p w14:paraId="14022792">
      <w:pPr>
        <w:pStyle w:val="11"/>
        <w:spacing w:line="360" w:lineRule="auto"/>
        <w:ind w:firstLine="420" w:firstLineChars="200"/>
        <w:rPr>
          <w:rFonts w:ascii="Times New Roman" w:hAnsi="Times New Roman" w:cs="Times New Roman"/>
          <w:sz w:val="52"/>
          <w:highlight w:val="none"/>
        </w:rPr>
      </w:pPr>
      <w:r>
        <w:rPr>
          <w:rFonts w:ascii="Times New Roman" w:hAnsi="Times New Roman" w:cs="Times New Roman"/>
          <w:bCs/>
          <w:highlight w:val="none"/>
        </w:rPr>
        <w:t>3.5.2 评</w:t>
      </w:r>
      <w:r>
        <w:rPr>
          <w:rFonts w:hint="eastAsia" w:ascii="Times New Roman" w:hAnsi="Times New Roman" w:cs="Times New Roman"/>
          <w:bCs/>
          <w:highlight w:val="none"/>
          <w:lang w:val="en-US" w:eastAsia="zh-CN"/>
        </w:rPr>
        <w:t>审</w:t>
      </w:r>
      <w:r>
        <w:rPr>
          <w:rFonts w:ascii="Times New Roman" w:hAnsi="Times New Roman" w:cs="Times New Roman"/>
          <w:highlight w:val="none"/>
        </w:rPr>
        <w:t>委员会完成评</w:t>
      </w:r>
      <w:r>
        <w:rPr>
          <w:rFonts w:hint="eastAsia" w:ascii="Times New Roman" w:hAnsi="Times New Roman" w:cs="Times New Roman"/>
          <w:highlight w:val="none"/>
          <w:lang w:val="en-US" w:eastAsia="zh-CN"/>
        </w:rPr>
        <w:t>审</w:t>
      </w:r>
      <w:r>
        <w:rPr>
          <w:rFonts w:ascii="Times New Roman" w:hAnsi="Times New Roman" w:cs="Times New Roman"/>
          <w:highlight w:val="none"/>
        </w:rPr>
        <w:t>后，应当向</w:t>
      </w:r>
      <w:r>
        <w:rPr>
          <w:rFonts w:hint="eastAsia" w:ascii="Times New Roman" w:hAnsi="Times New Roman" w:cs="Times New Roman"/>
          <w:highlight w:val="none"/>
        </w:rPr>
        <w:t>比选人</w:t>
      </w:r>
      <w:r>
        <w:rPr>
          <w:rFonts w:ascii="Times New Roman" w:hAnsi="Times New Roman" w:cs="Times New Roman"/>
          <w:highlight w:val="none"/>
        </w:rPr>
        <w:t>提交评</w:t>
      </w:r>
      <w:r>
        <w:rPr>
          <w:rFonts w:hint="eastAsia" w:ascii="Times New Roman" w:hAnsi="Times New Roman" w:cs="Times New Roman"/>
          <w:highlight w:val="none"/>
          <w:lang w:val="en-US" w:eastAsia="zh-CN"/>
        </w:rPr>
        <w:t>审</w:t>
      </w:r>
      <w:r>
        <w:rPr>
          <w:rFonts w:ascii="Times New Roman" w:hAnsi="Times New Roman" w:cs="Times New Roman"/>
          <w:highlight w:val="none"/>
        </w:rPr>
        <w:t>报告。</w:t>
      </w:r>
    </w:p>
    <w:p w14:paraId="4FC830D4">
      <w:pPr>
        <w:spacing w:line="360" w:lineRule="auto"/>
        <w:rPr>
          <w:rFonts w:ascii="Times New Roman" w:hAnsi="Times New Roman" w:cs="Times New Roman"/>
          <w:color w:val="000000"/>
          <w:highlight w:val="none"/>
        </w:rPr>
      </w:pPr>
      <w:r>
        <w:rPr>
          <w:rFonts w:ascii="Times New Roman" w:hAnsi="Times New Roman" w:cs="Times New Roman"/>
          <w:color w:val="000000"/>
          <w:highlight w:val="none"/>
        </w:rPr>
        <w:br w:type="page"/>
      </w:r>
    </w:p>
    <w:p w14:paraId="103BC156">
      <w:pPr>
        <w:pStyle w:val="11"/>
        <w:keepNext/>
        <w:keepLines/>
        <w:pageBreakBefore w:val="0"/>
        <w:widowControl w:val="0"/>
        <w:kinsoku/>
        <w:wordWrap/>
        <w:overflowPunct/>
        <w:topLinePunct w:val="0"/>
        <w:autoSpaceDE/>
        <w:autoSpaceDN/>
        <w:bidi w:val="0"/>
        <w:adjustRightInd w:val="0"/>
        <w:snapToGrid w:val="0"/>
        <w:spacing w:before="0" w:after="0" w:line="360" w:lineRule="auto"/>
        <w:ind w:left="0" w:firstLine="0" w:firstLineChars="0"/>
        <w:jc w:val="center"/>
        <w:textAlignment w:val="baseline"/>
        <w:rPr>
          <w:rFonts w:hint="eastAsia" w:ascii="Times New Roman" w:hAnsi="Times New Roman" w:eastAsia="宋体" w:cs="Times New Roman"/>
          <w:b/>
          <w:bCs/>
          <w:color w:val="000000"/>
          <w:kern w:val="44"/>
          <w:sz w:val="32"/>
          <w:szCs w:val="32"/>
          <w:highlight w:val="none"/>
        </w:rPr>
      </w:pPr>
    </w:p>
    <w:p w14:paraId="06863E6C">
      <w:pPr>
        <w:pStyle w:val="2"/>
        <w:numPr>
          <w:ilvl w:val="-1"/>
          <w:numId w:val="0"/>
        </w:numPr>
        <w:spacing w:before="0" w:after="0" w:line="579" w:lineRule="exact"/>
        <w:ind w:firstLine="1920" w:firstLineChars="600"/>
        <w:jc w:val="left"/>
        <w:rPr>
          <w:color w:val="000000"/>
          <w:sz w:val="32"/>
          <w:szCs w:val="44"/>
          <w:highlight w:val="none"/>
        </w:rPr>
      </w:pPr>
      <w:bookmarkStart w:id="28" w:name="_Toc25188"/>
      <w:r>
        <w:rPr>
          <w:rFonts w:hint="eastAsia" w:eastAsia="宋体"/>
          <w:color w:val="000000"/>
          <w:sz w:val="32"/>
          <w:szCs w:val="44"/>
          <w:highlight w:val="none"/>
          <w:lang w:val="en-US" w:eastAsia="zh-CN"/>
        </w:rPr>
        <w:t xml:space="preserve">第四章 </w:t>
      </w:r>
      <w:r>
        <w:rPr>
          <w:color w:val="000000"/>
          <w:sz w:val="32"/>
          <w:szCs w:val="44"/>
          <w:highlight w:val="none"/>
        </w:rPr>
        <w:t>合同条款及格式</w:t>
      </w:r>
      <w:bookmarkEnd w:id="28"/>
    </w:p>
    <w:p w14:paraId="0A9AC8C8">
      <w:pPr>
        <w:pStyle w:val="3"/>
        <w:spacing w:line="360" w:lineRule="auto"/>
        <w:jc w:val="center"/>
        <w:rPr>
          <w:rFonts w:ascii="Times New Roman" w:hAnsi="Times New Roman" w:eastAsia="微软雅黑"/>
          <w:b w:val="0"/>
          <w:sz w:val="44"/>
          <w:szCs w:val="44"/>
          <w:highlight w:val="none"/>
        </w:rPr>
      </w:pPr>
      <w:r>
        <w:rPr>
          <w:rFonts w:ascii="Times New Roman" w:hAnsi="Times New Roman" w:eastAsia="微软雅黑"/>
          <w:b w:val="0"/>
          <w:sz w:val="44"/>
          <w:szCs w:val="44"/>
          <w:highlight w:val="none"/>
        </w:rPr>
        <w:t>建设工程施工合同</w:t>
      </w:r>
    </w:p>
    <w:p w14:paraId="3199DEF4">
      <w:pPr>
        <w:spacing w:line="360" w:lineRule="auto"/>
        <w:rPr>
          <w:rStyle w:val="26"/>
          <w:rFonts w:ascii="Times New Roman" w:hAnsi="Times New Roman" w:cs="Times New Roman"/>
          <w:color w:val="auto"/>
          <w:sz w:val="32"/>
          <w:szCs w:val="32"/>
          <w:highlight w:val="none"/>
        </w:rPr>
      </w:pPr>
    </w:p>
    <w:p w14:paraId="1E1E3DB3">
      <w:pPr>
        <w:spacing w:line="360" w:lineRule="auto"/>
        <w:rPr>
          <w:rStyle w:val="26"/>
          <w:rFonts w:ascii="Times New Roman" w:hAnsi="Times New Roman" w:cs="Times New Roman"/>
          <w:color w:val="auto"/>
          <w:sz w:val="32"/>
          <w:szCs w:val="32"/>
          <w:highlight w:val="none"/>
        </w:rPr>
      </w:pPr>
    </w:p>
    <w:p w14:paraId="11BBCA70">
      <w:pPr>
        <w:spacing w:line="360" w:lineRule="auto"/>
        <w:ind w:left="1600" w:hanging="1600" w:hangingChars="500"/>
        <w:rPr>
          <w:rStyle w:val="26"/>
          <w:rFonts w:hint="eastAsia" w:ascii="Times New Roman" w:hAnsi="Times New Roman" w:eastAsia="宋体" w:cs="Times New Roman"/>
          <w:b w:val="0"/>
          <w:bCs w:val="0"/>
          <w:color w:val="auto"/>
          <w:kern w:val="2"/>
          <w:sz w:val="32"/>
          <w:szCs w:val="32"/>
          <w:highlight w:val="none"/>
          <w:u w:val="none"/>
          <w:lang w:val="en-US" w:eastAsia="zh-CN" w:bidi="ar-SA"/>
        </w:rPr>
      </w:pPr>
      <w:r>
        <w:rPr>
          <w:rStyle w:val="26"/>
          <w:rFonts w:ascii="Times New Roman" w:hAnsi="Times New Roman" w:eastAsia="宋体" w:cs="Times New Roman"/>
          <w:color w:val="auto"/>
          <w:sz w:val="32"/>
          <w:szCs w:val="32"/>
          <w:highlight w:val="none"/>
        </w:rPr>
        <w:t>工程名称</w:t>
      </w:r>
      <w:r>
        <w:rPr>
          <w:rStyle w:val="26"/>
          <w:rFonts w:hint="eastAsia" w:ascii="Times New Roman" w:hAnsi="Times New Roman" w:eastAsia="宋体" w:cs="Times New Roman"/>
          <w:color w:val="auto"/>
          <w:sz w:val="32"/>
          <w:szCs w:val="32"/>
          <w:highlight w:val="none"/>
          <w:lang w:eastAsia="zh-CN"/>
        </w:rPr>
        <w:t>：</w:t>
      </w:r>
      <w:r>
        <w:rPr>
          <w:rStyle w:val="26"/>
          <w:rFonts w:hint="eastAsia" w:ascii="Times New Roman" w:hAnsi="Times New Roman" w:eastAsia="宋体" w:cs="Times New Roman"/>
          <w:b w:val="0"/>
          <w:bCs w:val="0"/>
          <w:color w:val="auto"/>
          <w:kern w:val="2"/>
          <w:sz w:val="32"/>
          <w:szCs w:val="32"/>
          <w:highlight w:val="none"/>
          <w:u w:val="none"/>
          <w:lang w:val="en-US" w:eastAsia="zh-CN" w:bidi="ar-SA"/>
        </w:rPr>
        <w:t>淮口服务区充（换）电站高压改迁工程</w:t>
      </w:r>
    </w:p>
    <w:p w14:paraId="11024F5B">
      <w:pPr>
        <w:spacing w:line="360" w:lineRule="auto"/>
        <w:rPr>
          <w:rStyle w:val="26"/>
          <w:rFonts w:ascii="Times New Roman" w:hAnsi="Times New Roman" w:eastAsia="宋体" w:cs="Times New Roman"/>
          <w:color w:val="auto"/>
          <w:sz w:val="32"/>
          <w:szCs w:val="32"/>
          <w:highlight w:val="none"/>
        </w:rPr>
      </w:pPr>
      <w:r>
        <w:rPr>
          <w:rStyle w:val="26"/>
          <w:rFonts w:ascii="Times New Roman" w:hAnsi="Times New Roman" w:eastAsia="宋体" w:cs="Times New Roman"/>
          <w:color w:val="auto"/>
          <w:sz w:val="32"/>
          <w:szCs w:val="32"/>
          <w:highlight w:val="none"/>
        </w:rPr>
        <w:t>建设单位（甲方）：</w:t>
      </w:r>
      <w:r>
        <w:rPr>
          <w:rStyle w:val="26"/>
          <w:rFonts w:hint="eastAsia" w:ascii="Times New Roman" w:hAnsi="Times New Roman" w:eastAsia="宋体" w:cs="Times New Roman"/>
          <w:color w:val="auto"/>
          <w:sz w:val="32"/>
          <w:szCs w:val="32"/>
          <w:highlight w:val="none"/>
        </w:rPr>
        <w:t>四川蜀道新能源科技发展有限公司</w:t>
      </w:r>
      <w:r>
        <w:rPr>
          <w:rStyle w:val="26"/>
          <w:rFonts w:ascii="Times New Roman" w:hAnsi="Times New Roman" w:eastAsia="宋体" w:cs="Times New Roman"/>
          <w:color w:val="auto"/>
          <w:sz w:val="32"/>
          <w:szCs w:val="32"/>
          <w:highlight w:val="none"/>
        </w:rPr>
        <w:t xml:space="preserve">            </w:t>
      </w:r>
    </w:p>
    <w:p w14:paraId="45EAA424">
      <w:pPr>
        <w:spacing w:line="360" w:lineRule="auto"/>
        <w:rPr>
          <w:rStyle w:val="26"/>
          <w:rFonts w:hint="default" w:ascii="Times New Roman" w:hAnsi="Times New Roman" w:eastAsia="宋体" w:cs="Times New Roman"/>
          <w:color w:val="auto"/>
          <w:sz w:val="32"/>
          <w:szCs w:val="32"/>
          <w:highlight w:val="red"/>
          <w:lang w:val="en-US" w:eastAsia="zh-CN"/>
        </w:rPr>
      </w:pPr>
      <w:r>
        <w:rPr>
          <w:rStyle w:val="26"/>
          <w:rFonts w:ascii="Times New Roman" w:hAnsi="Times New Roman" w:eastAsia="宋体" w:cs="Times New Roman"/>
          <w:color w:val="auto"/>
          <w:sz w:val="32"/>
          <w:szCs w:val="32"/>
          <w:highlight w:val="none"/>
        </w:rPr>
        <w:t>施工单位</w:t>
      </w:r>
      <w:r>
        <w:rPr>
          <w:rStyle w:val="26"/>
          <w:rFonts w:hint="eastAsia" w:ascii="Times New Roman" w:hAnsi="Times New Roman" w:eastAsia="宋体" w:cs="Times New Roman"/>
          <w:color w:val="auto"/>
          <w:sz w:val="32"/>
          <w:szCs w:val="32"/>
          <w:highlight w:val="none"/>
        </w:rPr>
        <w:t>（</w:t>
      </w:r>
      <w:r>
        <w:rPr>
          <w:rStyle w:val="26"/>
          <w:rFonts w:ascii="Times New Roman" w:hAnsi="Times New Roman" w:eastAsia="宋体" w:cs="Times New Roman"/>
          <w:color w:val="auto"/>
          <w:sz w:val="32"/>
          <w:szCs w:val="32"/>
          <w:highlight w:val="none"/>
        </w:rPr>
        <w:t>乙方</w:t>
      </w:r>
      <w:r>
        <w:rPr>
          <w:rStyle w:val="26"/>
          <w:rFonts w:hint="eastAsia" w:ascii="Times New Roman" w:hAnsi="Times New Roman" w:eastAsia="宋体" w:cs="Times New Roman"/>
          <w:color w:val="auto"/>
          <w:sz w:val="32"/>
          <w:szCs w:val="32"/>
          <w:highlight w:val="none"/>
        </w:rPr>
        <w:t>）</w:t>
      </w:r>
      <w:r>
        <w:rPr>
          <w:rStyle w:val="26"/>
          <w:rFonts w:ascii="Times New Roman" w:hAnsi="Times New Roman" w:eastAsia="宋体" w:cs="Times New Roman"/>
          <w:color w:val="auto"/>
          <w:sz w:val="32"/>
          <w:szCs w:val="32"/>
          <w:highlight w:val="none"/>
        </w:rPr>
        <w:t>：</w:t>
      </w:r>
    </w:p>
    <w:p w14:paraId="4AEF87F9">
      <w:pPr>
        <w:spacing w:line="360" w:lineRule="auto"/>
        <w:rPr>
          <w:rStyle w:val="26"/>
          <w:rFonts w:ascii="Times New Roman" w:hAnsi="Times New Roman" w:eastAsia="宋体" w:cs="Times New Roman"/>
          <w:color w:val="auto"/>
          <w:sz w:val="32"/>
          <w:szCs w:val="32"/>
          <w:highlight w:val="none"/>
        </w:rPr>
      </w:pPr>
    </w:p>
    <w:p w14:paraId="4C1C99C4">
      <w:pPr>
        <w:spacing w:line="360" w:lineRule="auto"/>
        <w:rPr>
          <w:rStyle w:val="26"/>
          <w:rFonts w:ascii="Times New Roman" w:hAnsi="Times New Roman" w:eastAsia="宋体" w:cs="Times New Roman"/>
          <w:color w:val="auto"/>
          <w:sz w:val="32"/>
          <w:szCs w:val="32"/>
          <w:highlight w:val="none"/>
        </w:rPr>
      </w:pPr>
    </w:p>
    <w:p w14:paraId="546F45CD">
      <w:pPr>
        <w:spacing w:line="360" w:lineRule="auto"/>
        <w:rPr>
          <w:rStyle w:val="26"/>
          <w:rFonts w:ascii="Times New Roman" w:hAnsi="Times New Roman" w:eastAsia="宋体" w:cs="Times New Roman"/>
          <w:color w:val="auto"/>
          <w:sz w:val="32"/>
          <w:szCs w:val="32"/>
          <w:highlight w:val="none"/>
        </w:rPr>
      </w:pPr>
    </w:p>
    <w:p w14:paraId="2E49A889">
      <w:pPr>
        <w:spacing w:line="360" w:lineRule="auto"/>
        <w:rPr>
          <w:rStyle w:val="26"/>
          <w:rFonts w:ascii="Times New Roman" w:hAnsi="Times New Roman" w:eastAsia="宋体" w:cs="Times New Roman"/>
          <w:color w:val="auto"/>
          <w:sz w:val="32"/>
          <w:szCs w:val="32"/>
          <w:highlight w:val="none"/>
        </w:rPr>
      </w:pPr>
      <w:r>
        <w:rPr>
          <w:rStyle w:val="26"/>
          <w:rFonts w:ascii="Times New Roman" w:hAnsi="Times New Roman" w:eastAsia="宋体" w:cs="Times New Roman"/>
          <w:color w:val="auto"/>
          <w:sz w:val="32"/>
          <w:szCs w:val="32"/>
          <w:highlight w:val="none"/>
        </w:rPr>
        <w:t>签订地点：</w:t>
      </w:r>
    </w:p>
    <w:p w14:paraId="46980EE1">
      <w:pPr>
        <w:spacing w:line="360" w:lineRule="auto"/>
        <w:rPr>
          <w:rStyle w:val="26"/>
          <w:rFonts w:ascii="Times New Roman" w:hAnsi="Times New Roman" w:eastAsia="宋体" w:cs="Times New Roman"/>
          <w:color w:val="auto"/>
          <w:sz w:val="32"/>
          <w:szCs w:val="32"/>
          <w:highlight w:val="none"/>
        </w:rPr>
      </w:pPr>
      <w:r>
        <w:rPr>
          <w:rStyle w:val="26"/>
          <w:rFonts w:ascii="Times New Roman" w:hAnsi="Times New Roman" w:eastAsia="宋体" w:cs="Times New Roman"/>
          <w:color w:val="auto"/>
          <w:sz w:val="32"/>
          <w:szCs w:val="32"/>
          <w:highlight w:val="none"/>
        </w:rPr>
        <w:t xml:space="preserve">签订时间： </w:t>
      </w:r>
      <w:r>
        <w:rPr>
          <w:rStyle w:val="26"/>
          <w:rFonts w:hint="eastAsia" w:ascii="Times New Roman" w:hAnsi="Times New Roman" w:eastAsia="宋体" w:cs="Times New Roman"/>
          <w:color w:val="auto"/>
          <w:sz w:val="32"/>
          <w:szCs w:val="32"/>
          <w:highlight w:val="none"/>
        </w:rPr>
        <w:t xml:space="preserve">   </w:t>
      </w:r>
      <w:r>
        <w:rPr>
          <w:rStyle w:val="26"/>
          <w:rFonts w:ascii="Times New Roman" w:hAnsi="Times New Roman" w:eastAsia="宋体" w:cs="Times New Roman"/>
          <w:color w:val="auto"/>
          <w:sz w:val="32"/>
          <w:szCs w:val="32"/>
          <w:highlight w:val="none"/>
        </w:rPr>
        <w:t xml:space="preserve"> 年        月       日</w:t>
      </w:r>
    </w:p>
    <w:p w14:paraId="539645ED">
      <w:pPr>
        <w:pStyle w:val="3"/>
        <w:spacing w:line="360" w:lineRule="auto"/>
        <w:rPr>
          <w:rFonts w:ascii="Times New Roman" w:hAnsi="Times New Roman" w:eastAsia="微软雅黑"/>
          <w:b w:val="0"/>
          <w:sz w:val="28"/>
          <w:szCs w:val="28"/>
          <w:highlight w:val="none"/>
        </w:rPr>
        <w:sectPr>
          <w:headerReference r:id="rId7" w:type="default"/>
          <w:footerReference r:id="rId8" w:type="default"/>
          <w:pgSz w:w="11906" w:h="16838"/>
          <w:pgMar w:top="1440" w:right="1800" w:bottom="1440" w:left="1800" w:header="851" w:footer="992" w:gutter="0"/>
          <w:pgNumType w:fmt="numberInDash" w:start="1"/>
          <w:cols w:space="720" w:num="1"/>
          <w:docGrid w:type="linesAndChars" w:linePitch="312" w:charSpace="0"/>
        </w:sectPr>
      </w:pPr>
    </w:p>
    <w:p w14:paraId="406DA349">
      <w:pPr>
        <w:bidi w:val="0"/>
        <w:jc w:val="center"/>
        <w:rPr>
          <w:b/>
          <w:bCs/>
          <w:sz w:val="32"/>
          <w:szCs w:val="32"/>
        </w:rPr>
      </w:pPr>
      <w:r>
        <w:rPr>
          <w:b/>
          <w:bCs/>
          <w:sz w:val="32"/>
          <w:szCs w:val="32"/>
        </w:rPr>
        <w:t>建设工程施工合同</w:t>
      </w:r>
    </w:p>
    <w:p w14:paraId="2D56675F">
      <w:pPr>
        <w:spacing w:line="600" w:lineRule="exact"/>
        <w:rPr>
          <w:rFonts w:hint="eastAsia" w:ascii="宋体" w:hAnsi="宋体" w:cs="Times New Roman"/>
          <w:sz w:val="28"/>
          <w:szCs w:val="28"/>
          <w:highlight w:val="none"/>
        </w:rPr>
      </w:pPr>
      <w:r>
        <w:rPr>
          <w:rFonts w:ascii="宋体" w:hAnsi="宋体" w:cs="Times New Roman"/>
          <w:sz w:val="28"/>
          <w:szCs w:val="28"/>
          <w:highlight w:val="none"/>
        </w:rPr>
        <w:t>建设单位（甲方）：</w:t>
      </w:r>
      <w:r>
        <w:rPr>
          <w:rFonts w:hint="eastAsia" w:ascii="宋体" w:hAnsi="宋体" w:cs="Times New Roman"/>
          <w:sz w:val="28"/>
          <w:szCs w:val="28"/>
          <w:highlight w:val="none"/>
        </w:rPr>
        <w:t>四川蜀道新能源科技发展有限公司</w:t>
      </w:r>
    </w:p>
    <w:p w14:paraId="075D51C1">
      <w:pPr>
        <w:spacing w:line="600" w:lineRule="exact"/>
        <w:rPr>
          <w:rFonts w:ascii="宋体" w:hAnsi="宋体" w:cs="Times New Roman"/>
          <w:sz w:val="28"/>
          <w:szCs w:val="28"/>
          <w:highlight w:val="none"/>
        </w:rPr>
      </w:pPr>
      <w:r>
        <w:rPr>
          <w:rFonts w:ascii="宋体" w:hAnsi="宋体" w:cs="Times New Roman"/>
          <w:sz w:val="28"/>
          <w:szCs w:val="28"/>
          <w:highlight w:val="none"/>
        </w:rPr>
        <w:t>施工单位（乙方）：</w:t>
      </w:r>
    </w:p>
    <w:p w14:paraId="5F37429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1．总则</w:t>
      </w:r>
    </w:p>
    <w:p w14:paraId="13AB8E5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1.1依照《中华人民共和国民法典</w:t>
      </w:r>
      <w:r>
        <w:rPr>
          <w:rFonts w:hint="eastAsia" w:ascii="宋体" w:hAnsi="宋体" w:cs="Times New Roman"/>
          <w:sz w:val="28"/>
          <w:szCs w:val="28"/>
          <w:highlight w:val="none"/>
        </w:rPr>
        <w:t>》《</w:t>
      </w:r>
      <w:r>
        <w:rPr>
          <w:rFonts w:ascii="宋体" w:hAnsi="宋体" w:cs="Times New Roman"/>
          <w:sz w:val="28"/>
          <w:szCs w:val="28"/>
          <w:highlight w:val="none"/>
        </w:rPr>
        <w:t>中华人民共和国建筑法》及其他有关法律、行政法规的规定，遵循平等、自愿、公平和诚实信用的原则，双方就本建设工程施工事项协商一致，订立本合同。</w:t>
      </w:r>
    </w:p>
    <w:p w14:paraId="4B16A73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2．词语定义</w:t>
      </w:r>
    </w:p>
    <w:p w14:paraId="743350F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下列词语除双方另有约定外，应具有本条所赋予的定义：</w:t>
      </w:r>
    </w:p>
    <w:p w14:paraId="71A9FE9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2.1有关合同双方和监理等的词语</w:t>
      </w:r>
    </w:p>
    <w:p w14:paraId="1839A12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业主（甲方）：指在协议书中约定，具有工程发包主体资格和支付工程价款能力的当事人以及取得该当事人资格的合法继承人。</w:t>
      </w:r>
    </w:p>
    <w:p w14:paraId="44B1D4D7">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施工单位（</w:t>
      </w:r>
      <w:r>
        <w:rPr>
          <w:rFonts w:ascii="宋体" w:hAnsi="宋体" w:cs="Times New Roman"/>
          <w:sz w:val="28"/>
          <w:szCs w:val="28"/>
          <w:highlight w:val="none"/>
        </w:rPr>
        <w:t>乙方</w:t>
      </w:r>
      <w:r>
        <w:rPr>
          <w:rFonts w:hint="eastAsia" w:ascii="宋体" w:hAnsi="宋体" w:cs="Times New Roman"/>
          <w:sz w:val="28"/>
          <w:szCs w:val="28"/>
          <w:highlight w:val="none"/>
        </w:rPr>
        <w:t>）</w:t>
      </w:r>
      <w:r>
        <w:rPr>
          <w:rFonts w:ascii="宋体" w:hAnsi="宋体" w:cs="Times New Roman"/>
          <w:sz w:val="28"/>
          <w:szCs w:val="28"/>
          <w:highlight w:val="none"/>
        </w:rPr>
        <w:t>：指在协议书中约定，被甲方接受的具有工程施工承包主体资格的当事人以及取得该当事人资格的合法继承人。</w:t>
      </w:r>
    </w:p>
    <w:p w14:paraId="23C8C5C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分包人：指本合同中从乙方处分包某一部分工程的当事人。</w:t>
      </w:r>
    </w:p>
    <w:p w14:paraId="13DA724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监理：指由甲方委托对本合同实施监理的当事人。</w:t>
      </w:r>
    </w:p>
    <w:p w14:paraId="50C572A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设计单位：指甲方委托的负责本工程设计并取得相应工程设计资质等级证书的单位。</w:t>
      </w:r>
    </w:p>
    <w:p w14:paraId="400FA27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项目经理：指</w:t>
      </w:r>
      <w:r>
        <w:rPr>
          <w:rFonts w:hint="eastAsia" w:ascii="宋体" w:hAnsi="宋体" w:cs="Times New Roman"/>
          <w:sz w:val="28"/>
          <w:szCs w:val="28"/>
          <w:highlight w:val="none"/>
        </w:rPr>
        <w:t>乙</w:t>
      </w:r>
      <w:r>
        <w:rPr>
          <w:rFonts w:ascii="宋体" w:hAnsi="宋体" w:cs="Times New Roman"/>
          <w:sz w:val="28"/>
          <w:szCs w:val="28"/>
          <w:highlight w:val="none"/>
        </w:rPr>
        <w:t>方指定的负责施工管理和合同履行的代表。</w:t>
      </w:r>
    </w:p>
    <w:p w14:paraId="4975184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监理单位：指甲方委托的负责本工程监理并取得相应工程监理资质等级证书的单位。</w:t>
      </w:r>
    </w:p>
    <w:p w14:paraId="5F6D059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工程造价</w:t>
      </w:r>
      <w:r>
        <w:rPr>
          <w:rFonts w:hint="eastAsia" w:ascii="宋体" w:hAnsi="宋体" w:cs="Times New Roman"/>
          <w:sz w:val="28"/>
          <w:szCs w:val="28"/>
          <w:highlight w:val="none"/>
        </w:rPr>
        <w:t>咨询单位</w:t>
      </w:r>
      <w:r>
        <w:rPr>
          <w:rFonts w:ascii="宋体" w:hAnsi="宋体" w:cs="Times New Roman"/>
          <w:sz w:val="28"/>
          <w:szCs w:val="28"/>
          <w:highlight w:val="none"/>
        </w:rPr>
        <w:t>：指甲方委托的负责本工程</w:t>
      </w:r>
      <w:r>
        <w:rPr>
          <w:rFonts w:hint="eastAsia" w:ascii="宋体" w:hAnsi="宋体" w:cs="Times New Roman"/>
          <w:sz w:val="28"/>
          <w:szCs w:val="28"/>
          <w:highlight w:val="none"/>
        </w:rPr>
        <w:t>造价咨询</w:t>
      </w:r>
      <w:r>
        <w:rPr>
          <w:rFonts w:ascii="宋体" w:hAnsi="宋体" w:cs="Times New Roman"/>
          <w:sz w:val="28"/>
          <w:szCs w:val="28"/>
          <w:highlight w:val="none"/>
        </w:rPr>
        <w:t>并取得相应资质等级证书的单位。</w:t>
      </w:r>
    </w:p>
    <w:p w14:paraId="6FA1CD8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  有关合同组成文件的词语</w:t>
      </w:r>
    </w:p>
    <w:p w14:paraId="4FCD76F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合同文件（或称合同）：指由甲方与乙方签订的为完成本合同规定的各项工作所列入本合同条款第8条的全部文件和图纸，以及其它在协议书中明确列入的文件和图纸。</w:t>
      </w:r>
    </w:p>
    <w:p w14:paraId="469D060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技术条款：指本合同的技术条款和由监理作出或批准的对技术条款修改或补充的文件。</w:t>
      </w:r>
    </w:p>
    <w:p w14:paraId="37EF647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图纸：指列入合同的招标图纸和甲方按合同规定向乙方提供的所有图纸（包括配套说明和有关数据）和由乙方提交并经监理批准的所有图纸（包括配套说明和有关资料）。</w:t>
      </w:r>
    </w:p>
    <w:p w14:paraId="0B4B168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(4) 施工图纸：指上述第(3)项规定的图纸中由甲方提供或由乙方提交并经监理批准的直接用于施工的图纸（包括配套说明和有关资料）。</w:t>
      </w:r>
    </w:p>
    <w:p w14:paraId="5B7AB46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(5) </w:t>
      </w:r>
      <w:r>
        <w:rPr>
          <w:rFonts w:hint="eastAsia" w:ascii="宋体" w:hAnsi="宋体" w:cs="Times New Roman"/>
          <w:sz w:val="28"/>
          <w:szCs w:val="28"/>
          <w:highlight w:val="none"/>
        </w:rPr>
        <w:t>比选申请</w:t>
      </w:r>
      <w:r>
        <w:rPr>
          <w:rFonts w:ascii="宋体" w:hAnsi="宋体" w:cs="Times New Roman"/>
          <w:sz w:val="28"/>
          <w:szCs w:val="28"/>
          <w:highlight w:val="none"/>
        </w:rPr>
        <w:t>文件：指乙方为完成本合同规定的各项工作，在</w:t>
      </w:r>
      <w:r>
        <w:rPr>
          <w:rFonts w:hint="eastAsia" w:ascii="宋体" w:hAnsi="宋体" w:cs="Times New Roman"/>
          <w:sz w:val="28"/>
          <w:szCs w:val="28"/>
          <w:highlight w:val="none"/>
        </w:rPr>
        <w:t>比选申请</w:t>
      </w:r>
      <w:r>
        <w:rPr>
          <w:rFonts w:ascii="宋体" w:hAnsi="宋体" w:cs="Times New Roman"/>
          <w:sz w:val="28"/>
          <w:szCs w:val="28"/>
          <w:highlight w:val="none"/>
        </w:rPr>
        <w:t>时按</w:t>
      </w:r>
      <w:r>
        <w:rPr>
          <w:rFonts w:hint="eastAsia" w:ascii="宋体" w:hAnsi="宋体" w:cs="Times New Roman"/>
          <w:sz w:val="28"/>
          <w:szCs w:val="28"/>
          <w:highlight w:val="none"/>
        </w:rPr>
        <w:t>比选文件</w:t>
      </w:r>
      <w:r>
        <w:rPr>
          <w:rFonts w:ascii="宋体" w:hAnsi="宋体" w:cs="Times New Roman"/>
          <w:sz w:val="28"/>
          <w:szCs w:val="28"/>
          <w:highlight w:val="none"/>
        </w:rPr>
        <w:t>的要求向甲方提交的</w:t>
      </w:r>
      <w:r>
        <w:rPr>
          <w:rFonts w:hint="eastAsia" w:ascii="宋体" w:hAnsi="宋体" w:cs="Times New Roman"/>
          <w:sz w:val="28"/>
          <w:szCs w:val="28"/>
          <w:highlight w:val="none"/>
        </w:rPr>
        <w:t>比选申请</w:t>
      </w:r>
      <w:r>
        <w:rPr>
          <w:rFonts w:ascii="宋体" w:hAnsi="宋体" w:cs="Times New Roman"/>
          <w:sz w:val="28"/>
          <w:szCs w:val="28"/>
          <w:highlight w:val="none"/>
        </w:rPr>
        <w:t>文件，含报价</w:t>
      </w:r>
      <w:r>
        <w:rPr>
          <w:rFonts w:hint="eastAsia" w:ascii="宋体" w:hAnsi="宋体" w:cs="Times New Roman"/>
          <w:sz w:val="28"/>
          <w:szCs w:val="28"/>
          <w:highlight w:val="none"/>
        </w:rPr>
        <w:t>函</w:t>
      </w:r>
      <w:r>
        <w:rPr>
          <w:rFonts w:ascii="宋体" w:hAnsi="宋体" w:cs="Times New Roman"/>
          <w:sz w:val="28"/>
          <w:szCs w:val="28"/>
          <w:highlight w:val="none"/>
        </w:rPr>
        <w:t>及其它文件。</w:t>
      </w:r>
    </w:p>
    <w:p w14:paraId="6A1F3CB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(6) </w:t>
      </w:r>
      <w:r>
        <w:rPr>
          <w:rFonts w:hint="eastAsia" w:ascii="宋体" w:hAnsi="宋体" w:cs="Times New Roman"/>
          <w:sz w:val="28"/>
          <w:szCs w:val="28"/>
          <w:highlight w:val="none"/>
        </w:rPr>
        <w:t>中选</w:t>
      </w:r>
      <w:r>
        <w:rPr>
          <w:rFonts w:ascii="宋体" w:hAnsi="宋体" w:cs="Times New Roman"/>
          <w:sz w:val="28"/>
          <w:szCs w:val="28"/>
          <w:highlight w:val="none"/>
        </w:rPr>
        <w:t>通知书：指甲方正式向乙方授标的通知书。</w:t>
      </w:r>
    </w:p>
    <w:p w14:paraId="624040A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2.3  有关工程和设备的词语</w:t>
      </w:r>
    </w:p>
    <w:p w14:paraId="3A80707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工程：指永久工程和临时工程或为二者之一。</w:t>
      </w:r>
    </w:p>
    <w:p w14:paraId="28D5747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永久工程：指按本合同规定应建造的并移交给甲方使用的工程（包括工程设备）。</w:t>
      </w:r>
    </w:p>
    <w:p w14:paraId="1060AEA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临时工程：指为完成本合同规定的各项工作所需的各类非永久工程（不包括施工设备）。</w:t>
      </w:r>
    </w:p>
    <w:p w14:paraId="5B23ADC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(4) 工程设备：指构成或计划构成永久工程一部分的机电设备、金属结构设备、仪器装置及其它类似的设备和装置。</w:t>
      </w:r>
    </w:p>
    <w:p w14:paraId="14ECD86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 施工设备：指为完成本合同规定的各项工作所需的全部用于施工的设备、器具和其它物品（不包括临时工程和材料）。</w:t>
      </w:r>
    </w:p>
    <w:p w14:paraId="01830C2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 乙方设备：指乙方的施工设备。</w:t>
      </w:r>
    </w:p>
    <w:p w14:paraId="180E5E9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2.4 合同价格</w:t>
      </w:r>
    </w:p>
    <w:p w14:paraId="6BE7F7C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(1) </w:t>
      </w:r>
      <w:r>
        <w:rPr>
          <w:rFonts w:hint="eastAsia" w:ascii="宋体" w:hAnsi="宋体" w:cs="Times New Roman"/>
          <w:sz w:val="28"/>
          <w:szCs w:val="28"/>
          <w:highlight w:val="none"/>
        </w:rPr>
        <w:t>暂定</w:t>
      </w:r>
      <w:r>
        <w:rPr>
          <w:rFonts w:ascii="宋体" w:hAnsi="宋体" w:cs="Times New Roman"/>
          <w:sz w:val="28"/>
          <w:szCs w:val="28"/>
          <w:highlight w:val="none"/>
        </w:rPr>
        <w:t>合同价款：指协议书中写明并签订的</w:t>
      </w:r>
      <w:r>
        <w:rPr>
          <w:rFonts w:hint="eastAsia" w:ascii="宋体" w:hAnsi="宋体" w:cs="Times New Roman"/>
          <w:sz w:val="28"/>
          <w:szCs w:val="28"/>
          <w:highlight w:val="none"/>
        </w:rPr>
        <w:t>暂定</w:t>
      </w:r>
      <w:r>
        <w:rPr>
          <w:rFonts w:ascii="宋体" w:hAnsi="宋体" w:cs="Times New Roman"/>
          <w:sz w:val="28"/>
          <w:szCs w:val="28"/>
          <w:highlight w:val="none"/>
        </w:rPr>
        <w:t>合同总金额。</w:t>
      </w:r>
    </w:p>
    <w:p w14:paraId="23D2D91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2.5 其它词语</w:t>
      </w:r>
    </w:p>
    <w:p w14:paraId="107A9CA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施工场地（或称工地）：指由甲方提供的用于本合同工程施工的场所以及在合同中指定作为施工场地组成部分的其它场所。</w:t>
      </w:r>
    </w:p>
    <w:p w14:paraId="7655061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书面形式：指任何手写、打印、印刷的各种函件，包括电传、电报、传真和电子邮件。</w:t>
      </w:r>
    </w:p>
    <w:p w14:paraId="13DCDA6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小时或天：本合同中规定按小时计算时间，从事件有效开始时计算（不扣除休息时间）；规定按天计算时间的，开始当天不计入，从次日开始计算。时限的最后一天是休息日或者其他法定节假日的，以节假日次日为时限的最后一天，但竣工日期除外。时限的最后一天的截止时间为当日24时。</w:t>
      </w:r>
    </w:p>
    <w:p w14:paraId="668E666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(4) 暂列金（预留金）：指由甲方在《</w:t>
      </w:r>
      <w:r>
        <w:rPr>
          <w:rFonts w:hint="eastAsia" w:ascii="宋体" w:hAnsi="宋体" w:cs="Times New Roman"/>
          <w:sz w:val="28"/>
          <w:szCs w:val="28"/>
          <w:highlight w:val="none"/>
        </w:rPr>
        <w:t>招标控制价清单</w:t>
      </w:r>
      <w:r>
        <w:rPr>
          <w:rFonts w:ascii="宋体" w:hAnsi="宋体" w:cs="Times New Roman"/>
          <w:sz w:val="28"/>
          <w:szCs w:val="28"/>
          <w:highlight w:val="none"/>
        </w:rPr>
        <w:t>》中专项列出的用于签订协议书时尚未确定或不可预见项目的预留金额</w:t>
      </w:r>
      <w:r>
        <w:rPr>
          <w:rFonts w:hint="eastAsia" w:ascii="宋体" w:hAnsi="宋体" w:cs="Times New Roman"/>
          <w:sz w:val="28"/>
          <w:szCs w:val="28"/>
          <w:highlight w:val="none"/>
        </w:rPr>
        <w:t>，若出现新增工程项目，项目费用可在暂列金（预留金）中支出，若未出现上述情况，暂列金（预留金）在最终工程项目结算时予以扣除。</w:t>
      </w:r>
    </w:p>
    <w:p w14:paraId="48270FE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2.6 有关工期的词语</w:t>
      </w:r>
    </w:p>
    <w:p w14:paraId="25C2452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工期：指甲方与乙方在协议书中约定，按总日历天数（包括法定节假日）计算的承包天数。</w:t>
      </w:r>
    </w:p>
    <w:p w14:paraId="0F0C6D9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开工通知：指甲方通知乙方开工的函件。</w:t>
      </w:r>
    </w:p>
    <w:p w14:paraId="2C96638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开工日期：指甲方与乙方在协议书中约定，乙方开始施工的绝对或相对的日期。</w:t>
      </w:r>
    </w:p>
    <w:p w14:paraId="65C7A81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(4) 竣工日期：指甲方与乙方在协议书中约定，乙方完成承包范围内工程的绝对或相对的日期，为最后一个单位工程的竣工时间。</w:t>
      </w:r>
    </w:p>
    <w:p w14:paraId="1A585E1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2.7不可抗力</w:t>
      </w:r>
      <w:r>
        <w:rPr>
          <w:rFonts w:hint="eastAsia" w:ascii="宋体" w:hAnsi="宋体" w:cs="Times New Roman"/>
          <w:sz w:val="28"/>
          <w:szCs w:val="28"/>
          <w:highlight w:val="none"/>
        </w:rPr>
        <w:t>：</w:t>
      </w:r>
      <w:r>
        <w:rPr>
          <w:rFonts w:ascii="宋体" w:hAnsi="宋体" w:cs="Times New Roman"/>
          <w:sz w:val="28"/>
          <w:szCs w:val="28"/>
          <w:highlight w:val="none"/>
        </w:rPr>
        <w:t>战争、动乱、空中飞行物坠落、暴风雪、洪水、地震等不可预见、不能避免并不能克服的事件。</w:t>
      </w:r>
    </w:p>
    <w:p w14:paraId="04FDC4D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2.8追加合同价款：指在合同履行中发生需要增加合同价款的情况，经甲方确认后按</w:t>
      </w:r>
      <w:r>
        <w:rPr>
          <w:rFonts w:hint="eastAsia" w:ascii="宋体" w:hAnsi="宋体" w:cs="Times New Roman"/>
          <w:sz w:val="28"/>
          <w:szCs w:val="28"/>
          <w:highlight w:val="none"/>
        </w:rPr>
        <w:t>合同约定方式</w:t>
      </w:r>
      <w:r>
        <w:rPr>
          <w:rFonts w:ascii="宋体" w:hAnsi="宋体" w:cs="Times New Roman"/>
          <w:sz w:val="28"/>
          <w:szCs w:val="28"/>
          <w:highlight w:val="none"/>
        </w:rPr>
        <w:t>计算价款的方法增加的合同价款。</w:t>
      </w:r>
    </w:p>
    <w:p w14:paraId="4EFA140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3．工程概况</w:t>
      </w:r>
    </w:p>
    <w:p w14:paraId="592CC44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3.1工程名称</w:t>
      </w:r>
      <w:r>
        <w:rPr>
          <w:rFonts w:hint="eastAsia" w:ascii="宋体" w:hAnsi="宋体" w:eastAsia="宋体" w:cs="Times New Roman"/>
          <w:b w:val="0"/>
          <w:bCs w:val="0"/>
          <w:kern w:val="2"/>
          <w:sz w:val="28"/>
          <w:szCs w:val="28"/>
          <w:highlight w:val="none"/>
          <w:lang w:val="en-US" w:eastAsia="zh-CN" w:bidi="en-US"/>
        </w:rPr>
        <w:t>：</w:t>
      </w:r>
      <w:r>
        <w:rPr>
          <w:rFonts w:hint="eastAsia" w:ascii="宋体" w:hAnsi="宋体" w:cs="Times New Roman"/>
          <w:sz w:val="28"/>
          <w:szCs w:val="28"/>
          <w:highlight w:val="none"/>
          <w:lang w:val="en-US" w:eastAsia="zh-CN" w:bidi="en-US"/>
        </w:rPr>
        <w:t>淮口服务区充（换）电站高压改迁工程</w:t>
      </w:r>
      <w:r>
        <w:rPr>
          <w:rFonts w:hint="eastAsia" w:ascii="宋体" w:hAnsi="宋体" w:cs="Times New Roman"/>
          <w:sz w:val="28"/>
          <w:szCs w:val="28"/>
          <w:highlight w:val="none"/>
          <w:lang w:bidi="en-US"/>
        </w:rPr>
        <w:t>（以下简称“本项目”）</w:t>
      </w:r>
    </w:p>
    <w:p w14:paraId="4D499EEF">
      <w:pPr>
        <w:numPr>
          <w:ilvl w:val="0"/>
          <w:numId w:val="0"/>
        </w:numPr>
        <w:spacing w:line="600" w:lineRule="exact"/>
        <w:ind w:firstLine="560" w:firstLineChars="200"/>
        <w:jc w:val="left"/>
        <w:rPr>
          <w:rFonts w:hint="default" w:ascii="宋体" w:hAnsi="宋体" w:eastAsia="宋体" w:cs="Times New Roman"/>
          <w:sz w:val="28"/>
          <w:szCs w:val="28"/>
          <w:highlight w:val="none"/>
          <w:lang w:val="en-US" w:eastAsia="zh-CN"/>
        </w:rPr>
      </w:pPr>
      <w:r>
        <w:rPr>
          <w:rFonts w:ascii="宋体" w:hAnsi="宋体" w:cs="Times New Roman"/>
          <w:sz w:val="28"/>
          <w:szCs w:val="28"/>
          <w:highlight w:val="none"/>
        </w:rPr>
        <w:t>3.2工程地点</w:t>
      </w:r>
      <w:r>
        <w:rPr>
          <w:rFonts w:hint="eastAsia" w:ascii="宋体" w:hAnsi="宋体" w:eastAsia="宋体" w:cs="Times New Roman"/>
          <w:sz w:val="28"/>
          <w:szCs w:val="28"/>
          <w:highlight w:val="none"/>
          <w:lang w:val="en-US" w:eastAsia="zh-CN"/>
        </w:rPr>
        <w:t>：</w:t>
      </w:r>
      <w:r>
        <w:rPr>
          <w:rFonts w:hint="eastAsia" w:ascii="宋体" w:hAnsi="宋体" w:cs="Times New Roman"/>
          <w:b w:val="0"/>
          <w:bCs w:val="0"/>
          <w:kern w:val="2"/>
          <w:sz w:val="28"/>
          <w:szCs w:val="28"/>
          <w:highlight w:val="none"/>
          <w:lang w:val="en-US" w:eastAsia="zh-CN" w:bidi="en-US"/>
        </w:rPr>
        <w:t>沪蓉高速淮口服务区（双向）</w:t>
      </w:r>
    </w:p>
    <w:p w14:paraId="517513E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3.3工程内容：</w:t>
      </w:r>
    </w:p>
    <w:p w14:paraId="23279623">
      <w:pPr>
        <w:widowControl/>
        <w:spacing w:line="578" w:lineRule="exact"/>
        <w:ind w:right="0" w:firstLine="540" w:firstLineChars="193"/>
        <w:jc w:val="left"/>
        <w:rPr>
          <w:rFonts w:hint="eastAsia" w:ascii="宋体" w:hAnsi="宋体" w:eastAsia="宋体" w:cs="Times New Roman"/>
          <w:b w:val="0"/>
          <w:bCs w:val="0"/>
          <w:color w:val="auto"/>
          <w:kern w:val="2"/>
          <w:sz w:val="28"/>
          <w:szCs w:val="28"/>
          <w:highlight w:val="none"/>
          <w:lang w:val="en-US" w:eastAsia="zh-CN" w:bidi="ar-SA"/>
        </w:rPr>
      </w:pPr>
      <w:r>
        <w:rPr>
          <w:rFonts w:hint="eastAsia" w:ascii="宋体" w:hAnsi="宋体" w:eastAsia="宋体" w:cs="Times New Roman"/>
          <w:b w:val="0"/>
          <w:bCs w:val="0"/>
          <w:color w:val="auto"/>
          <w:kern w:val="2"/>
          <w:sz w:val="28"/>
          <w:szCs w:val="28"/>
          <w:highlight w:val="none"/>
          <w:lang w:val="en-US" w:eastAsia="zh-CN" w:bidi="ar-SA"/>
        </w:rPr>
        <w:t>（1）包括但不限于</w:t>
      </w:r>
      <w:r>
        <w:rPr>
          <w:rFonts w:hint="eastAsia" w:ascii="宋体" w:hAnsi="宋体" w:eastAsia="宋体" w:cs="Times New Roman"/>
          <w:color w:val="auto"/>
          <w:kern w:val="2"/>
          <w:sz w:val="28"/>
          <w:szCs w:val="28"/>
          <w:highlight w:val="none"/>
          <w:u w:val="none"/>
          <w:lang w:val="en-US" w:eastAsia="zh-CN"/>
        </w:rPr>
        <w:t>电气部分新敷设电缆、新建一二次融合开关、移位利旧箱变、利旧原隔离开关、避雷器等；土建部分新建电缆直埋通电、电缆直线井、转角井，箱变基础等；拆除部分：拆除原有电缆和电缆基座</w:t>
      </w:r>
      <w:r>
        <w:rPr>
          <w:rFonts w:hint="eastAsia" w:ascii="宋体" w:hAnsi="宋体" w:cs="Times New Roman"/>
          <w:color w:val="auto"/>
          <w:kern w:val="2"/>
          <w:sz w:val="28"/>
          <w:szCs w:val="28"/>
          <w:highlight w:val="none"/>
          <w:u w:val="none"/>
          <w:lang w:val="en-US" w:eastAsia="zh-CN"/>
        </w:rPr>
        <w:t>等；</w:t>
      </w:r>
      <w:r>
        <w:rPr>
          <w:rFonts w:hint="eastAsia" w:ascii="宋体" w:hAnsi="宋体" w:eastAsia="宋体" w:cs="Times New Roman"/>
          <w:b w:val="0"/>
          <w:bCs w:val="0"/>
          <w:color w:val="auto"/>
          <w:kern w:val="2"/>
          <w:sz w:val="28"/>
          <w:szCs w:val="28"/>
          <w:highlight w:val="none"/>
          <w:lang w:val="en-US" w:eastAsia="zh-CN" w:bidi="ar-SA"/>
        </w:rPr>
        <w:t>电气调试、报验（供电局）等以及为保证充电站按期建设和投营使用所需一切设施设备建设及手续办理、协调、后续服务等。</w:t>
      </w:r>
    </w:p>
    <w:p w14:paraId="6A8D8415">
      <w:pPr>
        <w:widowControl/>
        <w:spacing w:line="578" w:lineRule="exact"/>
        <w:ind w:right="0" w:firstLine="540" w:firstLineChars="193"/>
        <w:jc w:val="left"/>
        <w:rPr>
          <w:rFonts w:hint="eastAsia" w:ascii="宋体" w:hAnsi="宋体" w:eastAsia="宋体" w:cs="Times New Roman"/>
          <w:b w:val="0"/>
          <w:bCs w:val="0"/>
          <w:color w:val="auto"/>
          <w:kern w:val="2"/>
          <w:sz w:val="28"/>
          <w:szCs w:val="28"/>
          <w:highlight w:val="none"/>
          <w:lang w:val="en-US" w:eastAsia="zh-CN" w:bidi="ar-SA"/>
        </w:rPr>
      </w:pPr>
      <w:r>
        <w:rPr>
          <w:rFonts w:hint="eastAsia" w:ascii="宋体" w:hAnsi="宋体" w:eastAsia="宋体" w:cs="Times New Roman"/>
          <w:b w:val="0"/>
          <w:bCs w:val="0"/>
          <w:color w:val="auto"/>
          <w:kern w:val="2"/>
          <w:sz w:val="28"/>
          <w:szCs w:val="28"/>
          <w:highlight w:val="none"/>
          <w:lang w:val="en-US" w:eastAsia="zh-CN" w:bidi="ar-SA"/>
        </w:rPr>
        <w:t>（2）须在施工现场安装适当的监控设备，以实时监测施工活动。该系统应涵盖整个施工现场，并保证监控画面的清晰度和稳定性。同时，监控系统要能够存储录像和图片等相关数据备份，并将施工监控接入</w:t>
      </w:r>
      <w:r>
        <w:rPr>
          <w:rFonts w:hint="eastAsia" w:ascii="宋体" w:hAnsi="宋体" w:eastAsia="宋体" w:cs="Times New Roman"/>
          <w:b w:val="0"/>
          <w:bCs w:val="0"/>
          <w:kern w:val="2"/>
          <w:sz w:val="28"/>
          <w:szCs w:val="28"/>
          <w:highlight w:val="none"/>
          <w:lang w:val="en-US" w:eastAsia="zh-CN" w:bidi="ar-SA"/>
        </w:rPr>
        <w:t>甲方</w:t>
      </w:r>
      <w:r>
        <w:rPr>
          <w:rFonts w:hint="eastAsia" w:ascii="宋体" w:hAnsi="宋体" w:eastAsia="宋体" w:cs="Times New Roman"/>
          <w:b w:val="0"/>
          <w:bCs w:val="0"/>
          <w:color w:val="auto"/>
          <w:kern w:val="2"/>
          <w:sz w:val="28"/>
          <w:szCs w:val="28"/>
          <w:highlight w:val="none"/>
          <w:lang w:val="en-US" w:eastAsia="zh-CN" w:bidi="ar-SA"/>
        </w:rPr>
        <w:t>监控系统以备后续检查和调查需要。</w:t>
      </w:r>
    </w:p>
    <w:p w14:paraId="58FA0AF0">
      <w:pPr>
        <w:widowControl/>
        <w:spacing w:line="578" w:lineRule="exact"/>
        <w:ind w:right="0" w:firstLine="540" w:firstLineChars="193"/>
        <w:jc w:val="left"/>
        <w:rPr>
          <w:rFonts w:hint="eastAsia" w:ascii="宋体" w:hAnsi="宋体" w:eastAsia="宋体" w:cs="Times New Roman"/>
          <w:b w:val="0"/>
          <w:bCs w:val="0"/>
          <w:color w:val="auto"/>
          <w:kern w:val="2"/>
          <w:sz w:val="28"/>
          <w:szCs w:val="28"/>
          <w:highlight w:val="none"/>
          <w:lang w:val="en-US" w:eastAsia="zh-CN" w:bidi="ar-SA"/>
        </w:rPr>
      </w:pPr>
      <w:r>
        <w:rPr>
          <w:rFonts w:hint="eastAsia" w:ascii="宋体" w:hAnsi="宋体" w:eastAsia="宋体" w:cs="Times New Roman"/>
          <w:b w:val="0"/>
          <w:bCs w:val="0"/>
          <w:color w:val="auto"/>
          <w:kern w:val="2"/>
          <w:sz w:val="28"/>
          <w:szCs w:val="28"/>
          <w:highlight w:val="none"/>
          <w:lang w:val="en-US" w:eastAsia="zh-CN" w:bidi="ar-SA"/>
        </w:rPr>
        <w:t>（3）须负责承担施工沿线涉及的征地、青苗占用以及本项目施工过程中所发生的各种协调、附属工作直至项目最终验收合格并通电投营；</w:t>
      </w:r>
    </w:p>
    <w:p w14:paraId="1074EB5D">
      <w:pPr>
        <w:widowControl/>
        <w:spacing w:line="578" w:lineRule="exact"/>
        <w:ind w:right="0" w:firstLine="540" w:firstLineChars="193"/>
        <w:jc w:val="left"/>
        <w:rPr>
          <w:rFonts w:hint="eastAsia" w:ascii="宋体" w:hAnsi="宋体" w:eastAsia="宋体" w:cs="Times New Roman"/>
          <w:b w:val="0"/>
          <w:bCs w:val="0"/>
          <w:color w:val="auto"/>
          <w:kern w:val="2"/>
          <w:sz w:val="28"/>
          <w:szCs w:val="28"/>
          <w:highlight w:val="none"/>
          <w:lang w:val="en-US" w:eastAsia="zh-CN" w:bidi="ar-SA"/>
        </w:rPr>
      </w:pPr>
      <w:r>
        <w:rPr>
          <w:rFonts w:hint="eastAsia" w:ascii="宋体" w:hAnsi="宋体" w:eastAsia="宋体" w:cs="Times New Roman"/>
          <w:b w:val="0"/>
          <w:bCs w:val="0"/>
          <w:color w:val="auto"/>
          <w:kern w:val="2"/>
          <w:sz w:val="28"/>
          <w:szCs w:val="28"/>
          <w:highlight w:val="none"/>
          <w:lang w:val="en-US" w:eastAsia="zh-CN" w:bidi="ar-SA"/>
        </w:rPr>
        <w:t>（4）合理配置无功补偿模块，补偿后确保功率因数达到0.95及以上，若功率因数不达标，由此产生的力调电费由比选申请人承担。</w:t>
      </w:r>
    </w:p>
    <w:p w14:paraId="5AF111C1">
      <w:pPr>
        <w:widowControl/>
        <w:spacing w:line="578" w:lineRule="exact"/>
        <w:ind w:firstLine="540" w:firstLineChars="193"/>
        <w:rPr>
          <w:rFonts w:ascii="宋体" w:hAnsi="宋体" w:cs="Times New Roman"/>
          <w:sz w:val="28"/>
          <w:szCs w:val="28"/>
          <w:highlight w:val="none"/>
        </w:rPr>
      </w:pPr>
      <w:r>
        <w:rPr>
          <w:rFonts w:hint="eastAsia" w:ascii="宋体" w:hAnsi="宋体" w:cs="Times New Roman"/>
          <w:sz w:val="28"/>
          <w:szCs w:val="28"/>
          <w:highlight w:val="none"/>
        </w:rPr>
        <w:t>3.4安全目标：乙方确保项目工程建设期内无生产安全责任事故发生。</w:t>
      </w:r>
    </w:p>
    <w:p w14:paraId="748BF0AF">
      <w:pPr>
        <w:widowControl/>
        <w:spacing w:line="600" w:lineRule="exact"/>
        <w:ind w:firstLine="560" w:firstLineChars="200"/>
        <w:jc w:val="left"/>
        <w:rPr>
          <w:rFonts w:ascii="宋体" w:hAnsi="宋体" w:cs="Times New Roman"/>
          <w:sz w:val="28"/>
          <w:szCs w:val="28"/>
          <w:highlight w:val="none"/>
        </w:rPr>
      </w:pPr>
      <w:r>
        <w:rPr>
          <w:rFonts w:ascii="宋体" w:hAnsi="宋体" w:cs="Times New Roman"/>
          <w:sz w:val="28"/>
          <w:szCs w:val="28"/>
          <w:highlight w:val="none"/>
        </w:rPr>
        <w:t>4．承包方式及承包范围</w:t>
      </w:r>
    </w:p>
    <w:p w14:paraId="47018664">
      <w:pPr>
        <w:widowControl/>
        <w:spacing w:line="600" w:lineRule="exact"/>
        <w:ind w:firstLine="560" w:firstLineChars="200"/>
        <w:jc w:val="left"/>
        <w:rPr>
          <w:rFonts w:ascii="宋体" w:hAnsi="宋体" w:cs="Times New Roman"/>
          <w:sz w:val="28"/>
          <w:szCs w:val="28"/>
          <w:highlight w:val="none"/>
        </w:rPr>
      </w:pPr>
      <w:r>
        <w:rPr>
          <w:rFonts w:ascii="宋体" w:hAnsi="宋体" w:cs="Times New Roman"/>
          <w:sz w:val="28"/>
          <w:szCs w:val="28"/>
          <w:highlight w:val="none"/>
        </w:rPr>
        <w:t>4.1承包方式：</w:t>
      </w:r>
      <w:r>
        <w:rPr>
          <w:rFonts w:hint="eastAsia" w:ascii="宋体" w:hAnsi="宋体" w:cs="Times New Roman"/>
          <w:sz w:val="28"/>
          <w:szCs w:val="28"/>
          <w:highlight w:val="none"/>
        </w:rPr>
        <w:t>施工</w:t>
      </w:r>
      <w:r>
        <w:rPr>
          <w:rFonts w:ascii="宋体" w:hAnsi="宋体" w:cs="Times New Roman"/>
          <w:sz w:val="28"/>
          <w:szCs w:val="28"/>
          <w:highlight w:val="none"/>
        </w:rPr>
        <w:t>总承包</w:t>
      </w:r>
      <w:r>
        <w:rPr>
          <w:rFonts w:hint="eastAsia" w:ascii="宋体" w:hAnsi="宋体" w:cs="Times New Roman"/>
          <w:sz w:val="28"/>
          <w:szCs w:val="28"/>
          <w:highlight w:val="none"/>
        </w:rPr>
        <w:t>。</w:t>
      </w:r>
      <w:r>
        <w:rPr>
          <w:rFonts w:ascii="宋体" w:hAnsi="宋体" w:cs="Times New Roman"/>
          <w:sz w:val="28"/>
          <w:szCs w:val="28"/>
          <w:highlight w:val="none"/>
        </w:rPr>
        <w:t xml:space="preserve">        </w:t>
      </w:r>
    </w:p>
    <w:p w14:paraId="295A0EDA">
      <w:pPr>
        <w:widowControl/>
        <w:numPr>
          <w:ilvl w:val="-1"/>
          <w:numId w:val="0"/>
        </w:numPr>
        <w:spacing w:line="600" w:lineRule="exact"/>
        <w:ind w:firstLine="560" w:firstLineChars="200"/>
        <w:jc w:val="left"/>
        <w:rPr>
          <w:rFonts w:ascii="宋体" w:hAnsi="宋体" w:cs="Times New Roman"/>
          <w:sz w:val="28"/>
          <w:szCs w:val="28"/>
          <w:highlight w:val="none"/>
        </w:rPr>
      </w:pPr>
      <w:r>
        <w:rPr>
          <w:rFonts w:ascii="宋体" w:hAnsi="宋体" w:cs="Times New Roman"/>
          <w:sz w:val="28"/>
          <w:szCs w:val="28"/>
          <w:highlight w:val="none"/>
        </w:rPr>
        <w:t>4.2承包范围：</w:t>
      </w:r>
      <w:r>
        <w:rPr>
          <w:rFonts w:hint="eastAsia" w:ascii="宋体" w:hAnsi="宋体" w:eastAsia="宋体" w:cs="Times New Roman"/>
          <w:sz w:val="28"/>
          <w:szCs w:val="28"/>
          <w:highlight w:val="none"/>
        </w:rPr>
        <w:t>设计施工图纸及</w:t>
      </w:r>
      <w:r>
        <w:rPr>
          <w:rFonts w:hint="eastAsia" w:ascii="宋体" w:hAnsi="宋体" w:cs="Times New Roman"/>
          <w:sz w:val="28"/>
          <w:szCs w:val="28"/>
          <w:highlight w:val="none"/>
          <w:lang w:val="en-US" w:eastAsia="zh-CN"/>
        </w:rPr>
        <w:t>招标控制价（施工图预算）</w:t>
      </w:r>
      <w:r>
        <w:rPr>
          <w:rFonts w:hint="eastAsia" w:ascii="宋体" w:hAnsi="宋体" w:eastAsia="宋体" w:cs="Times New Roman"/>
          <w:sz w:val="28"/>
          <w:szCs w:val="28"/>
          <w:highlight w:val="none"/>
        </w:rPr>
        <w:t>所示以及与本项目相关的全部施工范围。</w:t>
      </w:r>
    </w:p>
    <w:p w14:paraId="4A88B1CD">
      <w:pPr>
        <w:widowControl/>
        <w:spacing w:line="578" w:lineRule="exact"/>
        <w:ind w:firstLine="540" w:firstLineChars="193"/>
        <w:rPr>
          <w:rFonts w:ascii="宋体" w:hAnsi="宋体" w:cs="Times New Roman"/>
          <w:sz w:val="28"/>
          <w:szCs w:val="28"/>
          <w:highlight w:val="none"/>
        </w:rPr>
      </w:pPr>
      <w:r>
        <w:rPr>
          <w:rFonts w:ascii="宋体" w:hAnsi="宋体" w:cs="Times New Roman"/>
          <w:sz w:val="28"/>
          <w:szCs w:val="28"/>
          <w:highlight w:val="none"/>
        </w:rPr>
        <w:t>5．合同工期</w:t>
      </w:r>
    </w:p>
    <w:p w14:paraId="21F4316C">
      <w:pPr>
        <w:widowControl/>
        <w:spacing w:line="578" w:lineRule="exact"/>
        <w:ind w:firstLine="540" w:firstLineChars="193"/>
        <w:rPr>
          <w:rFonts w:hint="eastAsia" w:ascii="宋体" w:hAnsi="宋体" w:cs="Times New Roman"/>
          <w:sz w:val="28"/>
          <w:szCs w:val="28"/>
          <w:highlight w:val="none"/>
        </w:rPr>
      </w:pPr>
      <w:r>
        <w:rPr>
          <w:rFonts w:hint="eastAsia" w:ascii="宋体" w:hAnsi="宋体" w:cs="Times New Roman"/>
          <w:sz w:val="28"/>
          <w:szCs w:val="28"/>
          <w:highlight w:val="none"/>
        </w:rPr>
        <w:t>开工日期：具体指甲方发出的开工通知中写明的开工日期。</w:t>
      </w:r>
    </w:p>
    <w:p w14:paraId="2AC0C071">
      <w:pPr>
        <w:widowControl/>
        <w:spacing w:line="578" w:lineRule="exact"/>
        <w:ind w:firstLine="540" w:firstLineChars="193"/>
        <w:rPr>
          <w:rFonts w:hint="eastAsia" w:ascii="宋体" w:hAnsi="宋体" w:cs="Times New Roman"/>
          <w:sz w:val="28"/>
          <w:szCs w:val="28"/>
          <w:highlight w:val="none"/>
        </w:rPr>
      </w:pPr>
      <w:r>
        <w:rPr>
          <w:rFonts w:hint="eastAsia" w:ascii="宋体" w:hAnsi="宋体" w:cs="Times New Roman"/>
          <w:sz w:val="28"/>
          <w:szCs w:val="28"/>
          <w:highlight w:val="none"/>
        </w:rPr>
        <w:t>竣工日期（或工程竣工验收日期）：实际竣工日期以甲方盖章确认的工程</w:t>
      </w:r>
      <w:r>
        <w:rPr>
          <w:rFonts w:hint="eastAsia" w:ascii="宋体" w:hAnsi="宋体" w:cs="Times New Roman"/>
          <w:sz w:val="28"/>
          <w:szCs w:val="28"/>
          <w:highlight w:val="none"/>
          <w:lang w:val="en-US" w:eastAsia="zh-CN"/>
        </w:rPr>
        <w:t>竣工验收</w:t>
      </w:r>
      <w:r>
        <w:rPr>
          <w:rFonts w:hint="eastAsia" w:ascii="宋体" w:hAnsi="宋体" w:cs="Times New Roman"/>
          <w:sz w:val="28"/>
          <w:szCs w:val="28"/>
          <w:highlight w:val="none"/>
        </w:rPr>
        <w:t>证书中写明的日期为准。</w:t>
      </w:r>
    </w:p>
    <w:p w14:paraId="509ADAD2">
      <w:pPr>
        <w:widowControl/>
        <w:spacing w:line="578" w:lineRule="exact"/>
        <w:ind w:firstLine="540" w:firstLineChars="193"/>
        <w:rPr>
          <w:rFonts w:hint="eastAsia" w:ascii="宋体" w:hAnsi="宋体" w:eastAsia="宋体" w:cs="Times New Roman"/>
          <w:sz w:val="28"/>
          <w:szCs w:val="28"/>
          <w:highlight w:val="none"/>
          <w:lang w:eastAsia="zh-CN"/>
        </w:rPr>
      </w:pPr>
      <w:r>
        <w:rPr>
          <w:rFonts w:hint="eastAsia" w:ascii="宋体" w:hAnsi="宋体" w:cs="Times New Roman"/>
          <w:sz w:val="28"/>
          <w:szCs w:val="28"/>
          <w:highlight w:val="none"/>
        </w:rPr>
        <w:t>合同工期总日历天</w:t>
      </w:r>
      <w:r>
        <w:rPr>
          <w:rFonts w:ascii="宋体" w:hAnsi="宋体" w:cs="Times New Roman"/>
          <w:sz w:val="28"/>
          <w:szCs w:val="28"/>
          <w:highlight w:val="none"/>
        </w:rPr>
        <w:t>数：</w:t>
      </w:r>
      <w:r>
        <w:rPr>
          <w:rFonts w:hint="eastAsia" w:ascii="宋体" w:hAnsi="宋体" w:cs="Times New Roman"/>
          <w:sz w:val="28"/>
          <w:szCs w:val="28"/>
          <w:highlight w:val="none"/>
          <w:u w:val="single"/>
        </w:rPr>
        <w:t xml:space="preserve"> </w:t>
      </w:r>
      <w:r>
        <w:rPr>
          <w:rFonts w:hint="eastAsia" w:ascii="宋体" w:hAnsi="宋体" w:cs="Times New Roman"/>
          <w:sz w:val="28"/>
          <w:szCs w:val="28"/>
          <w:highlight w:val="none"/>
          <w:u w:val="single"/>
          <w:lang w:val="en-US" w:eastAsia="zh-CN"/>
        </w:rPr>
        <w:t>60</w:t>
      </w:r>
      <w:r>
        <w:rPr>
          <w:rFonts w:hint="eastAsia" w:ascii="宋体" w:hAnsi="宋体" w:cs="Times New Roman"/>
          <w:sz w:val="28"/>
          <w:szCs w:val="28"/>
          <w:highlight w:val="none"/>
          <w:u w:val="single"/>
        </w:rPr>
        <w:t xml:space="preserve"> </w:t>
      </w:r>
      <w:r>
        <w:rPr>
          <w:rFonts w:ascii="宋体" w:hAnsi="宋体" w:cs="Times New Roman"/>
          <w:sz w:val="28"/>
          <w:szCs w:val="28"/>
          <w:highlight w:val="none"/>
        </w:rPr>
        <w:t>个日历天完成比选范围全部内容并验收合格，自甲方发出的开工通知中载明的开工日起算。缺陷责任期为24个月</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缺陷责任期从竣工验收合格日期开始起算</w:t>
      </w:r>
      <w:r>
        <w:rPr>
          <w:rFonts w:hint="eastAsia" w:ascii="宋体" w:hAnsi="宋体" w:cs="Times New Roman"/>
          <w:sz w:val="28"/>
          <w:szCs w:val="28"/>
          <w:highlight w:val="none"/>
          <w:lang w:eastAsia="zh-CN"/>
        </w:rPr>
        <w:t>。</w:t>
      </w:r>
    </w:p>
    <w:p w14:paraId="627CE6D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5.1开工及延期开工</w:t>
      </w:r>
    </w:p>
    <w:p w14:paraId="00DD1FB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5.1.1 开工通知</w:t>
      </w:r>
    </w:p>
    <w:p w14:paraId="2813132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甲方根据工程的实际情况向乙方发出开工通知。乙方应在接到开工通知后及时开工，并从开工日起按签订协议书时商定的进度计划进行施工准备。</w:t>
      </w:r>
    </w:p>
    <w:p w14:paraId="61A2D8C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5.1.2 甲方延误开工</w:t>
      </w:r>
    </w:p>
    <w:p w14:paraId="2512BE3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甲方发出开工通知</w:t>
      </w:r>
      <w:r>
        <w:rPr>
          <w:rFonts w:hint="eastAsia" w:ascii="宋体" w:hAnsi="宋体" w:cs="Times New Roman"/>
          <w:sz w:val="28"/>
          <w:szCs w:val="28"/>
          <w:highlight w:val="none"/>
          <w:lang w:val="en-US" w:eastAsia="zh-CN"/>
        </w:rPr>
        <w:t>后</w:t>
      </w:r>
      <w:r>
        <w:rPr>
          <w:rFonts w:ascii="宋体" w:hAnsi="宋体" w:cs="Times New Roman"/>
          <w:sz w:val="28"/>
          <w:szCs w:val="28"/>
          <w:highlight w:val="none"/>
        </w:rPr>
        <w:t>或甲方未能按合同规定向乙方提供开工的必要条件，乙方有权提出延长工期</w:t>
      </w:r>
      <w:r>
        <w:rPr>
          <w:rFonts w:hint="eastAsia" w:ascii="宋体" w:hAnsi="宋体" w:cs="Times New Roman"/>
          <w:sz w:val="28"/>
          <w:szCs w:val="28"/>
          <w:highlight w:val="none"/>
          <w:lang w:val="en-US" w:eastAsia="zh-CN"/>
        </w:rPr>
        <w:t>，相关费用由甲乙双方协商解决。</w:t>
      </w:r>
    </w:p>
    <w:p w14:paraId="4993DA7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5.1.3 乙方延误进点</w:t>
      </w:r>
    </w:p>
    <w:p w14:paraId="2321F52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在接到开工通知后5天内未按进度计划要求及时进点组织施工，甲方有权要求乙方在3天内编制一份赶工措施报告报送甲方审批。赶工措施报告应详细说明不能及时进点的原因和赶工办法，由此增加的费用由乙方承担。</w:t>
      </w:r>
    </w:p>
    <w:p w14:paraId="2B8E607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5.2 工期延误</w:t>
      </w:r>
    </w:p>
    <w:p w14:paraId="4A13CC4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5.2.1 甲方的工期延误</w:t>
      </w:r>
    </w:p>
    <w:p w14:paraId="327DD4E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在履行合同过程中，由于甲方的下列原因造成工期延误的，乙方有权向甲方申请延长工期，</w:t>
      </w:r>
      <w:r>
        <w:rPr>
          <w:rFonts w:hint="eastAsia" w:ascii="宋体" w:hAnsi="宋体" w:cs="Times New Roman"/>
          <w:sz w:val="28"/>
          <w:szCs w:val="28"/>
          <w:highlight w:val="none"/>
          <w:lang w:val="en-US" w:eastAsia="zh-CN"/>
        </w:rPr>
        <w:t>相关费用由甲乙双方协商解决。</w:t>
      </w:r>
    </w:p>
    <w:p w14:paraId="7D1F863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（1）增加合同中任何一项的工作内容；</w:t>
      </w:r>
    </w:p>
    <w:p w14:paraId="457773F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（2）增加合同进度计划中关键线路项目的工程量超过15%；</w:t>
      </w:r>
    </w:p>
    <w:p w14:paraId="10BA5F9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（3）增加承包范围外的工程项目；</w:t>
      </w:r>
    </w:p>
    <w:p w14:paraId="3DA4E9F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（4）改变合同中任何一项工作的质量要求或其他特性；</w:t>
      </w:r>
    </w:p>
    <w:p w14:paraId="0985BBD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（5）甲方迟延提供材料、工程设备或变更交货地点的；</w:t>
      </w:r>
    </w:p>
    <w:p w14:paraId="785EE73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（6）因甲方原因导致的暂停施工；</w:t>
      </w:r>
    </w:p>
    <w:p w14:paraId="4980889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（7）提供图纸延误</w:t>
      </w:r>
      <w:r>
        <w:rPr>
          <w:rFonts w:hint="eastAsia" w:ascii="宋体" w:hAnsi="宋体" w:cs="Times New Roman"/>
          <w:sz w:val="28"/>
          <w:szCs w:val="28"/>
          <w:highlight w:val="none"/>
        </w:rPr>
        <w:t>。</w:t>
      </w:r>
    </w:p>
    <w:p w14:paraId="0812344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5.2.1.1 乙方要求延长工期的处理</w:t>
      </w:r>
    </w:p>
    <w:p w14:paraId="0ECE239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若发生第5.2.1款所列的事件时，乙方应立即通知甲方，并在发出该通知后的7天内，向甲方提交一份</w:t>
      </w:r>
      <w:r>
        <w:rPr>
          <w:rFonts w:hint="eastAsia" w:ascii="宋体" w:hAnsi="宋体" w:cs="Times New Roman"/>
          <w:sz w:val="28"/>
          <w:szCs w:val="28"/>
          <w:highlight w:val="none"/>
        </w:rPr>
        <w:t>书面</w:t>
      </w:r>
      <w:r>
        <w:rPr>
          <w:rFonts w:ascii="宋体" w:hAnsi="宋体" w:cs="Times New Roman"/>
          <w:sz w:val="28"/>
          <w:szCs w:val="28"/>
          <w:highlight w:val="none"/>
        </w:rPr>
        <w:t>细节报告，详细说明发生该事件的情节和对工期的影响程度，并修订进度计划和编制赶工措施报告报送甲方审批。</w:t>
      </w:r>
    </w:p>
    <w:p w14:paraId="1D38466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若事件的持续时间较长或事件影响工期较长，当乙方采取了赶工措施而无法实现工程按期竣工时，除应按上述第(1)项规定的程序办理外，乙方应在事件结束后的7天内，提交一份</w:t>
      </w:r>
      <w:r>
        <w:rPr>
          <w:rFonts w:hint="eastAsia" w:ascii="宋体" w:hAnsi="宋体" w:cs="Times New Roman"/>
          <w:sz w:val="28"/>
          <w:szCs w:val="28"/>
          <w:highlight w:val="none"/>
        </w:rPr>
        <w:t>书面</w:t>
      </w:r>
      <w:r>
        <w:rPr>
          <w:rFonts w:ascii="宋体" w:hAnsi="宋体" w:cs="Times New Roman"/>
          <w:sz w:val="28"/>
          <w:szCs w:val="28"/>
          <w:highlight w:val="none"/>
        </w:rPr>
        <w:t>补充细节报告，详细说明要求延长工期的理由，并修订进度计划。此时甲方应按以下第(3)项规定的程序批准给予乙方延长工期的合理天数。</w:t>
      </w:r>
    </w:p>
    <w:p w14:paraId="2A01BE59">
      <w:pPr>
        <w:spacing w:line="600" w:lineRule="exact"/>
        <w:ind w:firstLine="560" w:firstLineChars="200"/>
        <w:rPr>
          <w:rFonts w:hint="default" w:ascii="宋体" w:hAnsi="宋体" w:eastAsia="宋体" w:cs="Times New Roman"/>
          <w:sz w:val="28"/>
          <w:szCs w:val="28"/>
          <w:highlight w:val="none"/>
          <w:lang w:val="en-US" w:eastAsia="zh-CN"/>
        </w:rPr>
      </w:pPr>
      <w:r>
        <w:rPr>
          <w:rFonts w:ascii="宋体" w:hAnsi="宋体" w:cs="Times New Roman"/>
          <w:sz w:val="28"/>
          <w:szCs w:val="28"/>
          <w:highlight w:val="none"/>
        </w:rPr>
        <w:t>(3) 甲方应及时调查核实上述第(1)和(2)项中乙方提交的细节报告和补充细节报告，并在审批修订进度计划的同时，</w:t>
      </w:r>
      <w:r>
        <w:rPr>
          <w:rFonts w:hint="eastAsia" w:ascii="宋体" w:hAnsi="宋体" w:cs="Times New Roman"/>
          <w:sz w:val="28"/>
          <w:szCs w:val="28"/>
          <w:highlight w:val="none"/>
        </w:rPr>
        <w:t>甲方可听取乙方意见，甲方最终</w:t>
      </w:r>
      <w:r>
        <w:rPr>
          <w:rFonts w:ascii="宋体" w:hAnsi="宋体" w:cs="Times New Roman"/>
          <w:sz w:val="28"/>
          <w:szCs w:val="28"/>
          <w:highlight w:val="none"/>
        </w:rPr>
        <w:t>确定延长工期的合理天数和补偿费用的合理额度，并通知乙方。</w:t>
      </w:r>
      <w:r>
        <w:rPr>
          <w:rFonts w:hint="eastAsia" w:ascii="宋体" w:hAnsi="宋体" w:cs="Times New Roman"/>
          <w:sz w:val="28"/>
          <w:szCs w:val="28"/>
          <w:highlight w:val="none"/>
          <w:lang w:val="en-US" w:eastAsia="zh-CN"/>
        </w:rPr>
        <w:t>如果甲方认为不应当给予延长工期和补偿费用的，乙方也予以同意不持异议。</w:t>
      </w:r>
    </w:p>
    <w:p w14:paraId="7087F1A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5.2.2 乙方的工期延误</w:t>
      </w:r>
    </w:p>
    <w:p w14:paraId="18DB4AE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由于乙方原因，未能按合同</w:t>
      </w:r>
      <w:r>
        <w:rPr>
          <w:rFonts w:hint="eastAsia" w:ascii="宋体" w:hAnsi="宋体" w:cs="Times New Roman"/>
          <w:sz w:val="28"/>
          <w:szCs w:val="28"/>
          <w:highlight w:val="none"/>
          <w:lang w:val="en-US" w:eastAsia="zh-CN"/>
        </w:rPr>
        <w:t>工期</w:t>
      </w:r>
      <w:r>
        <w:rPr>
          <w:rFonts w:ascii="宋体" w:hAnsi="宋体" w:cs="Times New Roman"/>
          <w:sz w:val="28"/>
          <w:szCs w:val="28"/>
          <w:highlight w:val="none"/>
        </w:rPr>
        <w:t>完成工作，乙方应按规定采取赶工措施赶上进度。若采取赶工措施后仍未能按合同规定的竣工日期竣工，乙方除自行承担采取赶工措施所增加的费用外，还应支付逾期竣工违约金（逾期竣工违约金按5.2.2.1计算）。同时不免除乙方完成工程及修补缺陷的义务。</w:t>
      </w:r>
    </w:p>
    <w:p w14:paraId="024529D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5.2.2.1 乙方工期延误的处理</w:t>
      </w:r>
    </w:p>
    <w:p w14:paraId="40FA6E3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5.2.2.1.1 总工期延误，违约金每天按合同暂定总金额的</w:t>
      </w:r>
      <w:r>
        <w:rPr>
          <w:rFonts w:hint="eastAsia" w:ascii="宋体" w:hAnsi="宋体" w:cs="Times New Roman"/>
          <w:sz w:val="28"/>
          <w:szCs w:val="28"/>
          <w:highlight w:val="none"/>
        </w:rPr>
        <w:t>1</w:t>
      </w:r>
      <w:r>
        <w:rPr>
          <w:rFonts w:ascii="宋体" w:hAnsi="宋体" w:cs="Times New Roman"/>
          <w:sz w:val="28"/>
          <w:szCs w:val="28"/>
          <w:highlight w:val="none"/>
        </w:rPr>
        <w:t>‰计算。</w:t>
      </w:r>
    </w:p>
    <w:p w14:paraId="7AF3FFD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5.2.2.1.2 中间工期延误，施工过程中，若乙方未按经甲方批准的施工进度计划（含非乙方原因调整后的计划）完成施工任务，造成中期进度滞后的，进度滞后10天内</w:t>
      </w:r>
      <w:r>
        <w:rPr>
          <w:rFonts w:hint="eastAsia" w:ascii="宋体" w:hAnsi="宋体" w:cs="Times New Roman"/>
          <w:sz w:val="28"/>
          <w:szCs w:val="28"/>
          <w:highlight w:val="none"/>
        </w:rPr>
        <w:t>（包含10天）</w:t>
      </w:r>
      <w:r>
        <w:rPr>
          <w:rFonts w:ascii="宋体" w:hAnsi="宋体" w:cs="Times New Roman"/>
          <w:sz w:val="28"/>
          <w:szCs w:val="28"/>
          <w:highlight w:val="none"/>
        </w:rPr>
        <w:t>，甲方将按每滞后一天向乙方扣减2000元违约金；进度滞后超过10天，甲方将按每滞后一天向乙方扣减4000元违约金，进度滞后超过20天，甲方有权</w:t>
      </w:r>
      <w:r>
        <w:rPr>
          <w:rFonts w:hint="eastAsia" w:ascii="宋体" w:hAnsi="宋体" w:cs="Times New Roman"/>
          <w:sz w:val="28"/>
          <w:szCs w:val="28"/>
          <w:highlight w:val="none"/>
        </w:rPr>
        <w:t>解除</w:t>
      </w:r>
      <w:r>
        <w:rPr>
          <w:rFonts w:ascii="宋体" w:hAnsi="宋体" w:cs="Times New Roman"/>
          <w:sz w:val="28"/>
          <w:szCs w:val="28"/>
          <w:highlight w:val="none"/>
        </w:rPr>
        <w:t>合同，乙方应当向甲方支付合同暂定总金额</w:t>
      </w:r>
      <w:r>
        <w:rPr>
          <w:rFonts w:hint="eastAsia" w:ascii="宋体" w:hAnsi="宋体" w:cs="Times New Roman"/>
          <w:sz w:val="28"/>
          <w:szCs w:val="28"/>
          <w:highlight w:val="none"/>
          <w:lang w:val="en-US" w:eastAsia="zh-CN"/>
        </w:rPr>
        <w:t>3</w:t>
      </w:r>
      <w:r>
        <w:rPr>
          <w:rFonts w:ascii="宋体" w:hAnsi="宋体" w:cs="Times New Roman"/>
          <w:sz w:val="28"/>
          <w:szCs w:val="28"/>
          <w:highlight w:val="none"/>
        </w:rPr>
        <w:t>0%的违约金，且乙方应退还</w:t>
      </w:r>
      <w:r>
        <w:rPr>
          <w:rFonts w:hint="eastAsia" w:ascii="宋体" w:hAnsi="宋体" w:cs="Times New Roman"/>
          <w:sz w:val="28"/>
          <w:szCs w:val="28"/>
          <w:highlight w:val="none"/>
        </w:rPr>
        <w:t>扣除乙方实际完成工作对应的合同价款，以及乙方已提供的材料、工程设备、施工设备和临时工程等的价值后甲方支付费用的剩余价款</w:t>
      </w:r>
      <w:r>
        <w:rPr>
          <w:rFonts w:hint="eastAsia" w:ascii="宋体" w:hAnsi="宋体" w:cs="Times New Roman"/>
          <w:sz w:val="28"/>
          <w:szCs w:val="28"/>
          <w:highlight w:val="none"/>
          <w:lang w:eastAsia="zh-CN"/>
        </w:rPr>
        <w:t>。</w:t>
      </w:r>
      <w:r>
        <w:rPr>
          <w:rFonts w:ascii="宋体" w:hAnsi="宋体" w:cs="Times New Roman"/>
          <w:sz w:val="28"/>
          <w:szCs w:val="28"/>
          <w:highlight w:val="none"/>
        </w:rPr>
        <w:t>前述违约金不足以弥补甲方损失的，乙方应另行赔偿损失。</w:t>
      </w:r>
    </w:p>
    <w:p w14:paraId="1ABD1F12">
      <w:pPr>
        <w:spacing w:line="600" w:lineRule="exact"/>
        <w:ind w:firstLine="560" w:firstLineChars="200"/>
        <w:rPr>
          <w:highlight w:val="none"/>
        </w:rPr>
      </w:pPr>
      <w:r>
        <w:rPr>
          <w:rFonts w:hint="eastAsia"/>
          <w:sz w:val="28"/>
          <w:szCs w:val="28"/>
          <w:highlight w:val="none"/>
        </w:rPr>
        <w:t>5.2.2.1.3 在合同工期届满前，乙方明确表示或以自己的行为表明不能按时完工，甲方有权解除合同，并在甲方要求的时间内完成清场，乙方应当向甲方支付合同暂定总金额</w:t>
      </w:r>
      <w:r>
        <w:rPr>
          <w:rFonts w:hint="eastAsia"/>
          <w:sz w:val="28"/>
          <w:szCs w:val="28"/>
          <w:highlight w:val="none"/>
          <w:lang w:val="en-US" w:eastAsia="zh-CN"/>
        </w:rPr>
        <w:t>3</w:t>
      </w:r>
      <w:r>
        <w:rPr>
          <w:rFonts w:hint="eastAsia"/>
          <w:sz w:val="28"/>
          <w:szCs w:val="28"/>
          <w:highlight w:val="none"/>
        </w:rPr>
        <w:t>0%的违约金，并承担因清场产生的所有费用，前述违约金不足以弥补甲方损失的，乙方应另行赔偿损失。</w:t>
      </w:r>
    </w:p>
    <w:p w14:paraId="1F43B1D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5.3 异常恶劣的气候条件</w:t>
      </w:r>
    </w:p>
    <w:p w14:paraId="6853AF2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由于出现异常恶劣的气候条件导致工期延误的，乙方有权要求甲方延长工期，是否延迟以及工期延长时限由甲方据实确定。</w:t>
      </w:r>
    </w:p>
    <w:p w14:paraId="1EEE491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5.4 暂停施工</w:t>
      </w:r>
    </w:p>
    <w:p w14:paraId="19B5F1D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5.4.1 乙方暂停施工的责任</w:t>
      </w:r>
    </w:p>
    <w:p w14:paraId="22F9C38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属于下列任何一种情况引起的暂停施工，乙方不能提出增加费用和延长工期的要求。</w:t>
      </w:r>
    </w:p>
    <w:p w14:paraId="59EDF7A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（1）合同中另有规定的。</w:t>
      </w:r>
    </w:p>
    <w:p w14:paraId="46A2A6F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（2）由于乙方违约引起的暂停施工。</w:t>
      </w:r>
    </w:p>
    <w:p w14:paraId="30BA2CB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（3）为工程的合理施工和保证安全</w:t>
      </w:r>
      <w:r>
        <w:rPr>
          <w:rFonts w:hint="eastAsia" w:ascii="宋体" w:hAnsi="宋体" w:cs="Times New Roman"/>
          <w:sz w:val="28"/>
          <w:szCs w:val="28"/>
          <w:highlight w:val="none"/>
        </w:rPr>
        <w:t>所必需的</w:t>
      </w:r>
      <w:r>
        <w:rPr>
          <w:rFonts w:ascii="宋体" w:hAnsi="宋体" w:cs="Times New Roman"/>
          <w:sz w:val="28"/>
          <w:szCs w:val="28"/>
          <w:highlight w:val="none"/>
        </w:rPr>
        <w:t>暂停施工。</w:t>
      </w:r>
    </w:p>
    <w:p w14:paraId="2E18D47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（4）未得到甲方许可的乙方擅自停工。</w:t>
      </w:r>
    </w:p>
    <w:p w14:paraId="0AA1BEE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（5）其它由于乙方原因引起的暂停施工。</w:t>
      </w:r>
    </w:p>
    <w:p w14:paraId="4200814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5.4.</w:t>
      </w:r>
      <w:r>
        <w:rPr>
          <w:rFonts w:hint="eastAsia" w:ascii="宋体" w:hAnsi="宋体" w:cs="Times New Roman"/>
          <w:sz w:val="28"/>
          <w:szCs w:val="28"/>
          <w:highlight w:val="none"/>
          <w:lang w:val="en-US" w:eastAsia="zh-CN"/>
        </w:rPr>
        <w:t>2</w:t>
      </w:r>
      <w:r>
        <w:rPr>
          <w:rFonts w:ascii="宋体" w:hAnsi="宋体" w:cs="Times New Roman"/>
          <w:sz w:val="28"/>
          <w:szCs w:val="28"/>
          <w:highlight w:val="none"/>
        </w:rPr>
        <w:t xml:space="preserve"> 甲方的暂停施工指示</w:t>
      </w:r>
    </w:p>
    <w:p w14:paraId="205DD573">
      <w:pPr>
        <w:pStyle w:val="7"/>
        <w:ind w:firstLine="420"/>
        <w:rPr>
          <w:rFonts w:ascii="宋体" w:hAnsi="宋体" w:cs="Times New Roman"/>
          <w:sz w:val="24"/>
          <w:szCs w:val="24"/>
          <w:highlight w:val="none"/>
        </w:rPr>
      </w:pPr>
      <w:r>
        <w:rPr>
          <w:rFonts w:ascii="宋体" w:hAnsi="宋体" w:cs="Times New Roman"/>
          <w:sz w:val="28"/>
          <w:szCs w:val="28"/>
          <w:highlight w:val="none"/>
        </w:rPr>
        <w:t>(1) 甲方认为有必要时，可向乙方发布暂停全部或部分工程施工的指示，乙方应按指示的要求立即暂停施工。不论由于何种原因引起的暂停施工，乙方应在暂停施工期间负责妥善保护工程和提供安全保障</w:t>
      </w:r>
      <w:r>
        <w:rPr>
          <w:rFonts w:hint="eastAsia" w:ascii="宋体" w:hAnsi="宋体" w:cs="Times New Roman"/>
          <w:sz w:val="28"/>
          <w:szCs w:val="28"/>
          <w:highlight w:val="none"/>
          <w:lang w:eastAsia="zh-CN"/>
        </w:rPr>
        <w:t>。</w:t>
      </w:r>
      <w:r>
        <w:rPr>
          <w:rFonts w:ascii="宋体" w:hAnsi="宋体" w:cs="Times New Roman"/>
          <w:sz w:val="28"/>
          <w:szCs w:val="28"/>
          <w:highlight w:val="none"/>
        </w:rPr>
        <w:t>乙方有权向甲方申请延长工期</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相关费用由甲乙双方协商解决</w:t>
      </w:r>
      <w:r>
        <w:rPr>
          <w:rFonts w:hint="default" w:ascii="宋体" w:hAnsi="宋体" w:eastAsia="宋体"/>
          <w:sz w:val="28"/>
          <w:szCs w:val="28"/>
          <w:highlight w:val="none"/>
        </w:rPr>
        <w:t>。</w:t>
      </w:r>
    </w:p>
    <w:p w14:paraId="5380DD7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由于甲方的责任发生暂停施工的情况时，若甲方未及时下达暂停施工指示，乙方可向其提出暂停施工的书面请求，甲方应在接到请求后的48小时内予以答复</w:t>
      </w:r>
      <w:r>
        <w:rPr>
          <w:rFonts w:hint="eastAsia" w:ascii="宋体" w:hAnsi="宋体" w:cs="Times New Roman"/>
          <w:sz w:val="28"/>
          <w:szCs w:val="28"/>
          <w:highlight w:val="none"/>
          <w:lang w:eastAsia="zh-CN"/>
        </w:rPr>
        <w:t>，</w:t>
      </w:r>
      <w:r>
        <w:rPr>
          <w:rFonts w:hint="eastAsia" w:ascii="宋体" w:hAnsi="宋体" w:cs="Times New Roman"/>
          <w:sz w:val="28"/>
          <w:szCs w:val="28"/>
          <w:highlight w:val="none"/>
        </w:rPr>
        <w:t>逾期未发出指示，视为同意乙方暂停施工</w:t>
      </w:r>
      <w:r>
        <w:rPr>
          <w:rFonts w:ascii="宋体" w:hAnsi="宋体" w:cs="Times New Roman"/>
          <w:sz w:val="28"/>
          <w:szCs w:val="28"/>
          <w:highlight w:val="none"/>
        </w:rPr>
        <w:t>。</w:t>
      </w:r>
    </w:p>
    <w:p w14:paraId="7ED4549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5.4.</w:t>
      </w:r>
      <w:r>
        <w:rPr>
          <w:rFonts w:hint="eastAsia" w:ascii="宋体" w:hAnsi="宋体" w:cs="Times New Roman"/>
          <w:sz w:val="28"/>
          <w:szCs w:val="28"/>
          <w:highlight w:val="none"/>
          <w:lang w:val="en-US" w:eastAsia="zh-CN"/>
        </w:rPr>
        <w:t>3</w:t>
      </w:r>
      <w:r>
        <w:rPr>
          <w:rFonts w:ascii="宋体" w:hAnsi="宋体" w:cs="Times New Roman"/>
          <w:sz w:val="28"/>
          <w:szCs w:val="28"/>
          <w:highlight w:val="none"/>
        </w:rPr>
        <w:t xml:space="preserve"> 暂停施工后的复工</w:t>
      </w:r>
    </w:p>
    <w:p w14:paraId="23384F6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工程暂停施工后，甲方应与乙方协商采取有效措施积极消除停工因素的影响。当工程具备复工条件时，甲方应立即向乙方发出复工通知，乙方收到复工通知后，应在甲方指定的期限内复工。若乙方无故拖延和拒绝复工，由此增加的费用和工期延误责任由乙方承担。</w:t>
      </w:r>
    </w:p>
    <w:p w14:paraId="0F1BDB4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5.4.</w:t>
      </w:r>
      <w:r>
        <w:rPr>
          <w:rFonts w:hint="eastAsia" w:ascii="宋体" w:hAnsi="宋体" w:cs="Times New Roman"/>
          <w:sz w:val="28"/>
          <w:szCs w:val="28"/>
          <w:highlight w:val="none"/>
          <w:lang w:val="en-US" w:eastAsia="zh-CN"/>
        </w:rPr>
        <w:t>4</w:t>
      </w:r>
      <w:r>
        <w:rPr>
          <w:rFonts w:ascii="宋体" w:hAnsi="宋体" w:cs="Times New Roman"/>
          <w:sz w:val="28"/>
          <w:szCs w:val="28"/>
          <w:highlight w:val="none"/>
        </w:rPr>
        <w:t xml:space="preserve"> 暂停施工持续28天以上</w:t>
      </w:r>
    </w:p>
    <w:p w14:paraId="03AF18B8">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（1）</w:t>
      </w:r>
      <w:r>
        <w:rPr>
          <w:rFonts w:ascii="宋体" w:hAnsi="宋体" w:cs="Times New Roman"/>
          <w:sz w:val="28"/>
          <w:szCs w:val="28"/>
          <w:highlight w:val="none"/>
        </w:rPr>
        <w:t xml:space="preserve"> 若甲方在下达暂停施工指示后28天内仍未给予乙方复工通知，乙方可向甲方提交书面通知，请求甲方在收到书面通知后28天内准许已暂停施工的工程或其中一部分工程继续施工。</w:t>
      </w:r>
    </w:p>
    <w:p w14:paraId="1E4DFE7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若发生由乙方责任引起的暂停施工时，乙方在收到甲方</w:t>
      </w:r>
      <w:r>
        <w:rPr>
          <w:rFonts w:hint="eastAsia" w:ascii="宋体" w:hAnsi="宋体" w:cs="Times New Roman"/>
          <w:sz w:val="28"/>
          <w:szCs w:val="28"/>
          <w:highlight w:val="none"/>
        </w:rPr>
        <w:t>复工</w:t>
      </w:r>
      <w:r>
        <w:rPr>
          <w:rFonts w:ascii="宋体" w:hAnsi="宋体" w:cs="Times New Roman"/>
          <w:sz w:val="28"/>
          <w:szCs w:val="28"/>
          <w:highlight w:val="none"/>
        </w:rPr>
        <w:t>指示后8天内不积极采取措施复工的，视为乙方违约，可按第17.1条的规定办理，且工期不顺延。</w:t>
      </w:r>
    </w:p>
    <w:p w14:paraId="64C69C3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 合同价款与结算</w:t>
      </w:r>
    </w:p>
    <w:p w14:paraId="483B445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6.1 本工程</w:t>
      </w:r>
      <w:r>
        <w:rPr>
          <w:rFonts w:hint="eastAsia" w:ascii="宋体" w:hAnsi="宋体" w:cs="Times New Roman"/>
          <w:sz w:val="28"/>
          <w:szCs w:val="28"/>
          <w:highlight w:val="none"/>
        </w:rPr>
        <w:t>合同</w:t>
      </w:r>
      <w:r>
        <w:rPr>
          <w:rFonts w:ascii="宋体" w:hAnsi="宋体" w:cs="Times New Roman"/>
          <w:sz w:val="28"/>
          <w:szCs w:val="28"/>
          <w:highlight w:val="none"/>
        </w:rPr>
        <w:t xml:space="preserve">价款按6.1.1确定，每次付款前，乙方应提前 </w:t>
      </w:r>
    </w:p>
    <w:p w14:paraId="2D1870C7">
      <w:pPr>
        <w:spacing w:line="600" w:lineRule="exact"/>
        <w:rPr>
          <w:rFonts w:ascii="宋体" w:hAnsi="宋体" w:cs="Times New Roman"/>
          <w:sz w:val="28"/>
          <w:szCs w:val="28"/>
          <w:highlight w:val="none"/>
        </w:rPr>
      </w:pPr>
      <w:r>
        <w:rPr>
          <w:rFonts w:ascii="宋体" w:hAnsi="宋体" w:cs="Times New Roman"/>
          <w:sz w:val="28"/>
          <w:szCs w:val="28"/>
          <w:highlight w:val="none"/>
          <w:u w:val="single"/>
        </w:rPr>
        <w:t xml:space="preserve"> </w:t>
      </w:r>
      <w:r>
        <w:rPr>
          <w:rFonts w:hint="eastAsia" w:ascii="宋体" w:hAnsi="宋体" w:cs="Times New Roman"/>
          <w:sz w:val="28"/>
          <w:szCs w:val="28"/>
          <w:highlight w:val="none"/>
          <w:u w:val="single"/>
          <w:lang w:val="en-US" w:eastAsia="zh-CN"/>
        </w:rPr>
        <w:t>7</w:t>
      </w:r>
      <w:r>
        <w:rPr>
          <w:rFonts w:ascii="宋体" w:hAnsi="宋体" w:cs="Times New Roman"/>
          <w:sz w:val="28"/>
          <w:szCs w:val="28"/>
          <w:highlight w:val="none"/>
          <w:u w:val="single"/>
        </w:rPr>
        <w:t xml:space="preserve"> </w:t>
      </w:r>
      <w:r>
        <w:rPr>
          <w:rFonts w:ascii="宋体" w:hAnsi="宋体" w:cs="Times New Roman"/>
          <w:sz w:val="28"/>
          <w:szCs w:val="28"/>
          <w:highlight w:val="none"/>
        </w:rPr>
        <w:t>个工作日提供</w:t>
      </w:r>
      <w:r>
        <w:rPr>
          <w:rFonts w:hint="eastAsia" w:ascii="宋体" w:hAnsi="宋体" w:cs="Times New Roman"/>
          <w:sz w:val="28"/>
          <w:szCs w:val="28"/>
          <w:highlight w:val="none"/>
        </w:rPr>
        <w:t>付款金额等</w:t>
      </w:r>
      <w:r>
        <w:rPr>
          <w:rFonts w:ascii="宋体" w:hAnsi="宋体" w:cs="Times New Roman"/>
          <w:sz w:val="28"/>
          <w:szCs w:val="28"/>
          <w:highlight w:val="none"/>
        </w:rPr>
        <w:t>额</w:t>
      </w:r>
      <w:r>
        <w:rPr>
          <w:rFonts w:hint="eastAsia" w:ascii="宋体" w:hAnsi="宋体" w:cs="Times New Roman"/>
          <w:sz w:val="28"/>
          <w:szCs w:val="28"/>
          <w:highlight w:val="none"/>
        </w:rPr>
        <w:t>的</w:t>
      </w:r>
      <w:r>
        <w:rPr>
          <w:rFonts w:ascii="宋体" w:hAnsi="宋体" w:cs="Times New Roman"/>
          <w:sz w:val="28"/>
          <w:szCs w:val="28"/>
          <w:highlight w:val="none"/>
        </w:rPr>
        <w:t>增值税专用发票</w:t>
      </w:r>
      <w:r>
        <w:rPr>
          <w:rFonts w:hint="eastAsia" w:ascii="宋体" w:hAnsi="宋体" w:cs="Times New Roman"/>
          <w:sz w:val="28"/>
          <w:szCs w:val="28"/>
          <w:highlight w:val="none"/>
        </w:rPr>
        <w:t>（预付款可仅提供收据）</w:t>
      </w:r>
      <w:r>
        <w:rPr>
          <w:rFonts w:ascii="宋体" w:hAnsi="宋体" w:cs="Times New Roman"/>
          <w:sz w:val="28"/>
          <w:szCs w:val="28"/>
          <w:highlight w:val="none"/>
        </w:rPr>
        <w:t>，税率</w:t>
      </w:r>
      <w:r>
        <w:rPr>
          <w:rFonts w:hint="eastAsia" w:ascii="宋体" w:hAnsi="宋体" w:cs="Times New Roman"/>
          <w:sz w:val="28"/>
          <w:szCs w:val="28"/>
          <w:highlight w:val="none"/>
          <w:u w:val="single"/>
        </w:rPr>
        <w:t xml:space="preserve">  </w:t>
      </w:r>
      <w:r>
        <w:rPr>
          <w:rFonts w:hint="eastAsia" w:ascii="宋体" w:hAnsi="宋体" w:cs="Times New Roman"/>
          <w:sz w:val="28"/>
          <w:szCs w:val="28"/>
          <w:highlight w:val="none"/>
          <w:u w:val="single"/>
          <w:lang w:val="en-US" w:eastAsia="zh-CN"/>
        </w:rPr>
        <w:t xml:space="preserve"> </w:t>
      </w:r>
      <w:r>
        <w:rPr>
          <w:rFonts w:hint="eastAsia" w:ascii="宋体" w:hAnsi="宋体" w:cs="Times New Roman"/>
          <w:sz w:val="28"/>
          <w:szCs w:val="28"/>
          <w:highlight w:val="none"/>
          <w:u w:val="single"/>
        </w:rPr>
        <w:t xml:space="preserve">  </w:t>
      </w:r>
      <w:r>
        <w:rPr>
          <w:rFonts w:ascii="宋体" w:hAnsi="宋体" w:cs="Times New Roman"/>
          <w:sz w:val="28"/>
          <w:szCs w:val="28"/>
          <w:highlight w:val="none"/>
        </w:rPr>
        <w:t>%，否则甲方有权拒绝付款，且不视为甲方违约，但乙方不得因此怠于履行本合同项下义务。</w:t>
      </w:r>
    </w:p>
    <w:p w14:paraId="4D63DB7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6.1.1 </w:t>
      </w:r>
      <w:r>
        <w:rPr>
          <w:rFonts w:hint="eastAsia" w:ascii="宋体" w:hAnsi="宋体" w:cs="Times New Roman"/>
          <w:sz w:val="28"/>
          <w:szCs w:val="28"/>
          <w:highlight w:val="none"/>
        </w:rPr>
        <w:t>本工程暂定合同价款为招标控制价（施工图预算）</w:t>
      </w:r>
      <w:r>
        <w:rPr>
          <w:rFonts w:hint="eastAsia" w:ascii="宋体" w:hAnsi="宋体" w:cs="Times New Roman"/>
          <w:sz w:val="28"/>
          <w:szCs w:val="28"/>
          <w:highlight w:val="none"/>
          <w:u w:val="single"/>
          <w:lang w:val="en-US" w:eastAsia="zh-CN"/>
        </w:rPr>
        <w:t xml:space="preserve">     </w:t>
      </w:r>
      <w:r>
        <w:rPr>
          <w:rFonts w:hint="eastAsia" w:ascii="宋体" w:hAnsi="宋体" w:cs="Times New Roman"/>
          <w:sz w:val="28"/>
          <w:szCs w:val="28"/>
          <w:highlight w:val="none"/>
        </w:rPr>
        <w:t>元基础上的中选取费比例</w:t>
      </w:r>
      <w:r>
        <w:rPr>
          <w:rFonts w:hint="eastAsia" w:ascii="宋体" w:hAnsi="宋体" w:cs="Times New Roman"/>
          <w:sz w:val="28"/>
          <w:szCs w:val="28"/>
          <w:highlight w:val="none"/>
          <w:u w:val="single"/>
          <w:lang w:val="en-US" w:eastAsia="zh-CN"/>
        </w:rPr>
        <w:t xml:space="preserve">   </w:t>
      </w:r>
      <w:r>
        <w:rPr>
          <w:rFonts w:hint="eastAsia" w:ascii="宋体" w:hAnsi="宋体" w:cs="Times New Roman"/>
          <w:sz w:val="28"/>
          <w:szCs w:val="28"/>
          <w:highlight w:val="none"/>
        </w:rPr>
        <w:t>%，暂定合同金额为</w:t>
      </w:r>
      <w:r>
        <w:rPr>
          <w:rFonts w:hint="eastAsia" w:ascii="宋体" w:hAnsi="宋体" w:cs="Times New Roman"/>
          <w:sz w:val="28"/>
          <w:szCs w:val="28"/>
          <w:highlight w:val="none"/>
          <w:u w:val="single"/>
          <w:lang w:val="en-US" w:eastAsia="zh-CN"/>
        </w:rPr>
        <w:t xml:space="preserve">     </w:t>
      </w:r>
      <w:r>
        <w:rPr>
          <w:rFonts w:hint="eastAsia" w:ascii="宋体" w:hAnsi="宋体" w:cs="Times New Roman"/>
          <w:sz w:val="28"/>
          <w:szCs w:val="28"/>
          <w:highlight w:val="none"/>
        </w:rPr>
        <w:t>元，含增值税</w:t>
      </w:r>
      <w:r>
        <w:rPr>
          <w:rFonts w:hint="eastAsia" w:ascii="宋体" w:hAnsi="宋体" w:cs="Times New Roman"/>
          <w:sz w:val="28"/>
          <w:szCs w:val="28"/>
          <w:highlight w:val="none"/>
          <w:u w:val="single"/>
          <w:lang w:val="en-US" w:eastAsia="zh-CN"/>
        </w:rPr>
        <w:t xml:space="preserve">   </w:t>
      </w:r>
      <w:r>
        <w:rPr>
          <w:rFonts w:hint="eastAsia" w:ascii="宋体" w:hAnsi="宋体" w:cs="Times New Roman"/>
          <w:sz w:val="28"/>
          <w:szCs w:val="28"/>
          <w:highlight w:val="none"/>
        </w:rPr>
        <w:t>%。最终合同结算价款在竣工图纸及招标控制价（施工图预算）基础上，按照合同6.3条约定办理。</w:t>
      </w:r>
    </w:p>
    <w:p w14:paraId="0B961B3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合同价款包括但不限于完成本次工程范围内的所有土建部分、设备</w:t>
      </w:r>
      <w:r>
        <w:rPr>
          <w:rFonts w:hint="eastAsia" w:ascii="宋体" w:hAnsi="宋体" w:cs="Times New Roman"/>
          <w:sz w:val="28"/>
          <w:szCs w:val="28"/>
          <w:highlight w:val="none"/>
        </w:rPr>
        <w:t>采购及</w:t>
      </w:r>
      <w:r>
        <w:rPr>
          <w:rFonts w:ascii="宋体" w:hAnsi="宋体" w:cs="Times New Roman"/>
          <w:sz w:val="28"/>
          <w:szCs w:val="28"/>
          <w:highlight w:val="none"/>
        </w:rPr>
        <w:t>安装、电力施工检测、验收、图纸报审等所需的全部费用，即本工程范围内的所有土建施工及设备安装、电力施工及检测所发生的人工费、设备费用、辅助材料费、机械费、包装运输费、互控开关费、箱变和电缆试验及调测费、继保执行、定制执行、成品保护费、检验调试费、验收费、样品费、措施费、采保费、规费、</w:t>
      </w:r>
      <w:r>
        <w:rPr>
          <w:rFonts w:hint="eastAsia" w:ascii="宋体" w:hAnsi="宋体" w:cs="Times New Roman"/>
          <w:sz w:val="28"/>
          <w:szCs w:val="28"/>
          <w:highlight w:val="none"/>
        </w:rPr>
        <w:t>安全生产费用、</w:t>
      </w:r>
      <w:r>
        <w:rPr>
          <w:rFonts w:ascii="宋体" w:hAnsi="宋体" w:cs="Times New Roman"/>
          <w:sz w:val="28"/>
          <w:szCs w:val="28"/>
          <w:highlight w:val="none"/>
        </w:rPr>
        <w:t>管理费</w:t>
      </w:r>
      <w:r>
        <w:rPr>
          <w:rFonts w:hint="eastAsia" w:ascii="宋体" w:hAnsi="宋体" w:cs="Times New Roman"/>
          <w:sz w:val="28"/>
          <w:szCs w:val="28"/>
          <w:highlight w:val="none"/>
        </w:rPr>
        <w:t>、保险费</w:t>
      </w:r>
      <w:r>
        <w:rPr>
          <w:rFonts w:ascii="宋体" w:hAnsi="宋体" w:cs="Times New Roman"/>
          <w:sz w:val="28"/>
          <w:szCs w:val="28"/>
          <w:highlight w:val="none"/>
        </w:rPr>
        <w:t>和利润、税金、图纸报审、深化设计</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通电措施费、土地永久占地赔偿费、线路青苗赔偿费</w:t>
      </w:r>
      <w:r>
        <w:rPr>
          <w:rFonts w:hint="eastAsia" w:ascii="宋体" w:hAnsi="宋体" w:cs="Times New Roman"/>
          <w:sz w:val="28"/>
          <w:szCs w:val="28"/>
          <w:highlight w:val="none"/>
        </w:rPr>
        <w:t>等一切为项目投运所产生的与第三方沟通协调的费用</w:t>
      </w:r>
      <w:r>
        <w:rPr>
          <w:rFonts w:ascii="宋体" w:hAnsi="宋体" w:cs="Times New Roman"/>
          <w:sz w:val="28"/>
          <w:szCs w:val="28"/>
          <w:highlight w:val="none"/>
        </w:rPr>
        <w:t>，并考虑了图纸报审造成造价增加、人工、材料涨价等风险因素和另行更换、修理设备及材料的费用</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本合同另有约定的除外</w:t>
      </w:r>
      <w:r>
        <w:rPr>
          <w:rFonts w:ascii="宋体" w:hAnsi="宋体" w:cs="Times New Roman"/>
          <w:sz w:val="28"/>
          <w:szCs w:val="28"/>
          <w:highlight w:val="none"/>
        </w:rPr>
        <w:t>。</w:t>
      </w:r>
    </w:p>
    <w:p w14:paraId="6EAFDAB0">
      <w:pPr>
        <w:spacing w:line="600" w:lineRule="exact"/>
        <w:ind w:firstLine="560" w:firstLineChars="200"/>
        <w:rPr>
          <w:rFonts w:hint="eastAsia" w:ascii="宋体" w:hAnsi="宋体" w:cs="Times New Roman"/>
          <w:sz w:val="28"/>
          <w:szCs w:val="28"/>
          <w:highlight w:val="none"/>
        </w:rPr>
      </w:pPr>
      <w:r>
        <w:rPr>
          <w:rFonts w:ascii="宋体" w:hAnsi="宋体" w:cs="Times New Roman"/>
          <w:sz w:val="28"/>
          <w:szCs w:val="28"/>
          <w:highlight w:val="none"/>
        </w:rPr>
        <w:t>进度款的</w:t>
      </w:r>
      <w:r>
        <w:rPr>
          <w:rFonts w:hint="eastAsia" w:ascii="宋体" w:hAnsi="宋体" w:cs="Times New Roman"/>
          <w:sz w:val="28"/>
          <w:szCs w:val="28"/>
          <w:highlight w:val="none"/>
        </w:rPr>
        <w:t>计量与</w:t>
      </w:r>
      <w:r>
        <w:rPr>
          <w:rFonts w:ascii="宋体" w:hAnsi="宋体" w:cs="Times New Roman"/>
          <w:sz w:val="28"/>
          <w:szCs w:val="28"/>
          <w:highlight w:val="none"/>
        </w:rPr>
        <w:t>支付按</w:t>
      </w:r>
      <w:r>
        <w:rPr>
          <w:rFonts w:hint="eastAsia" w:ascii="宋体" w:hAnsi="宋体" w:cs="Times New Roman"/>
          <w:sz w:val="28"/>
          <w:szCs w:val="28"/>
          <w:highlight w:val="none"/>
        </w:rPr>
        <w:t>6.3与</w:t>
      </w:r>
      <w:r>
        <w:rPr>
          <w:rFonts w:ascii="宋体" w:hAnsi="宋体" w:cs="Times New Roman"/>
          <w:sz w:val="28"/>
          <w:szCs w:val="28"/>
          <w:highlight w:val="none"/>
        </w:rPr>
        <w:t>6.4条执行。合同最终结算价款以甲方委托的</w:t>
      </w:r>
      <w:r>
        <w:rPr>
          <w:rFonts w:hint="eastAsia" w:ascii="宋体" w:hAnsi="宋体" w:cs="Times New Roman"/>
          <w:sz w:val="28"/>
          <w:szCs w:val="28"/>
          <w:highlight w:val="none"/>
        </w:rPr>
        <w:t>工程造价咨询</w:t>
      </w:r>
      <w:r>
        <w:rPr>
          <w:rFonts w:ascii="宋体" w:hAnsi="宋体" w:cs="Times New Roman"/>
          <w:sz w:val="28"/>
          <w:szCs w:val="28"/>
          <w:highlight w:val="none"/>
        </w:rPr>
        <w:t>单位审定</w:t>
      </w:r>
      <w:r>
        <w:rPr>
          <w:rFonts w:hint="eastAsia" w:ascii="宋体" w:hAnsi="宋体" w:cs="Times New Roman"/>
          <w:sz w:val="28"/>
          <w:szCs w:val="28"/>
          <w:highlight w:val="none"/>
        </w:rPr>
        <w:t>的</w:t>
      </w:r>
      <w:r>
        <w:rPr>
          <w:rFonts w:ascii="宋体" w:hAnsi="宋体" w:cs="Times New Roman"/>
          <w:sz w:val="28"/>
          <w:szCs w:val="28"/>
          <w:highlight w:val="none"/>
        </w:rPr>
        <w:t>工程量及结算金额办理竣工结算</w:t>
      </w:r>
      <w:r>
        <w:rPr>
          <w:rFonts w:hint="eastAsia" w:ascii="宋体" w:hAnsi="宋体" w:cs="Times New Roman"/>
          <w:sz w:val="28"/>
          <w:szCs w:val="28"/>
          <w:highlight w:val="none"/>
        </w:rPr>
        <w:t>。</w:t>
      </w:r>
    </w:p>
    <w:p w14:paraId="377B0708">
      <w:pPr>
        <w:spacing w:line="600" w:lineRule="exact"/>
        <w:ind w:firstLine="560" w:firstLineChars="200"/>
        <w:rPr>
          <w:rFonts w:hint="eastAsia" w:ascii="宋体" w:hAnsi="宋体" w:cs="Times New Roman"/>
          <w:sz w:val="28"/>
          <w:szCs w:val="28"/>
          <w:highlight w:val="none"/>
        </w:rPr>
      </w:pPr>
      <w:r>
        <w:rPr>
          <w:rFonts w:ascii="宋体" w:hAnsi="宋体" w:cs="Times New Roman"/>
          <w:sz w:val="28"/>
          <w:szCs w:val="28"/>
          <w:highlight w:val="none"/>
        </w:rPr>
        <w:t>6.1.2 因乙方原因造成返工、工程量虚增的，产生费用由乙方全额承担，</w:t>
      </w:r>
      <w:r>
        <w:rPr>
          <w:rFonts w:hint="eastAsia" w:ascii="宋体" w:hAnsi="宋体" w:cs="Times New Roman"/>
          <w:sz w:val="28"/>
          <w:szCs w:val="28"/>
          <w:highlight w:val="none"/>
        </w:rPr>
        <w:t>如果因此影响项目进度，导致项目未能按期竣工验收的，</w:t>
      </w:r>
      <w:r>
        <w:rPr>
          <w:rFonts w:hint="eastAsia" w:ascii="宋体" w:hAnsi="宋体" w:cs="Times New Roman"/>
          <w:sz w:val="28"/>
          <w:szCs w:val="28"/>
          <w:highlight w:val="none"/>
          <w:lang w:val="en-US" w:eastAsia="zh-CN"/>
        </w:rPr>
        <w:t>按</w:t>
      </w:r>
      <w:r>
        <w:rPr>
          <w:rFonts w:ascii="宋体" w:hAnsi="宋体" w:cs="Times New Roman"/>
          <w:sz w:val="28"/>
          <w:szCs w:val="28"/>
          <w:highlight w:val="none"/>
        </w:rPr>
        <w:t>5.2.2.1 乙方工期延误的处理</w:t>
      </w:r>
      <w:r>
        <w:rPr>
          <w:rFonts w:hint="eastAsia"/>
          <w:highlight w:val="none"/>
          <w:lang w:eastAsia="zh-CN"/>
        </w:rPr>
        <w:t>。</w:t>
      </w:r>
    </w:p>
    <w:p w14:paraId="6620EA69">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6.1.3甲方</w:t>
      </w:r>
      <w:r>
        <w:rPr>
          <w:rFonts w:ascii="宋体" w:hAnsi="宋体" w:cs="Times New Roman"/>
          <w:sz w:val="28"/>
          <w:szCs w:val="28"/>
          <w:highlight w:val="none"/>
        </w:rPr>
        <w:t>开票信息及</w:t>
      </w:r>
      <w:r>
        <w:rPr>
          <w:rFonts w:hint="eastAsia" w:ascii="宋体" w:hAnsi="宋体" w:cs="Times New Roman"/>
          <w:sz w:val="28"/>
          <w:szCs w:val="28"/>
          <w:highlight w:val="none"/>
        </w:rPr>
        <w:t>乙方</w:t>
      </w:r>
      <w:r>
        <w:rPr>
          <w:rFonts w:ascii="宋体" w:hAnsi="宋体" w:cs="Times New Roman"/>
          <w:sz w:val="28"/>
          <w:szCs w:val="28"/>
          <w:highlight w:val="none"/>
        </w:rPr>
        <w:t>收款账户信息如下：</w:t>
      </w:r>
    </w:p>
    <w:p w14:paraId="2FD1B2D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（1）甲方开票信息如下</w:t>
      </w:r>
      <w:r>
        <w:rPr>
          <w:rFonts w:hint="eastAsia" w:ascii="宋体" w:hAnsi="宋体" w:cs="Times New Roman"/>
          <w:sz w:val="28"/>
          <w:szCs w:val="28"/>
          <w:highlight w:val="none"/>
        </w:rPr>
        <w:t>：</w:t>
      </w:r>
    </w:p>
    <w:p w14:paraId="33C833B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单位名称：</w:t>
      </w:r>
      <w:r>
        <w:rPr>
          <w:rFonts w:hint="eastAsia" w:ascii="宋体" w:hAnsi="宋体" w:cs="Times New Roman"/>
          <w:sz w:val="28"/>
          <w:szCs w:val="28"/>
          <w:highlight w:val="none"/>
        </w:rPr>
        <w:t>四川蜀道新能源科技发展有限公司</w:t>
      </w:r>
      <w:r>
        <w:rPr>
          <w:rFonts w:ascii="宋体" w:hAnsi="宋体" w:cs="Times New Roman"/>
          <w:sz w:val="28"/>
          <w:szCs w:val="28"/>
          <w:highlight w:val="none"/>
        </w:rPr>
        <w:t xml:space="preserve"> </w:t>
      </w:r>
    </w:p>
    <w:p w14:paraId="1388D43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税号：</w:t>
      </w:r>
      <w:r>
        <w:rPr>
          <w:rFonts w:hint="eastAsia" w:ascii="宋体" w:hAnsi="宋体" w:cs="Times New Roman"/>
          <w:sz w:val="28"/>
          <w:szCs w:val="28"/>
          <w:highlight w:val="none"/>
        </w:rPr>
        <w:t>91510100MA6ARPET9E</w:t>
      </w:r>
    </w:p>
    <w:p w14:paraId="322461A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单位地址：</w:t>
      </w:r>
      <w:r>
        <w:rPr>
          <w:rFonts w:hint="eastAsia" w:ascii="宋体" w:hAnsi="宋体" w:cs="Times New Roman"/>
          <w:sz w:val="28"/>
          <w:szCs w:val="28"/>
          <w:highlight w:val="none"/>
        </w:rPr>
        <w:t>成都高新区创业路1号1栋1</w:t>
      </w:r>
      <w:r>
        <w:rPr>
          <w:rFonts w:hint="eastAsia" w:ascii="宋体" w:hAnsi="宋体" w:cs="Times New Roman"/>
          <w:sz w:val="28"/>
          <w:szCs w:val="28"/>
          <w:highlight w:val="none"/>
          <w:lang w:val="en-US" w:eastAsia="zh-CN"/>
        </w:rPr>
        <w:t>4</w:t>
      </w:r>
      <w:r>
        <w:rPr>
          <w:rFonts w:hint="eastAsia" w:ascii="宋体" w:hAnsi="宋体" w:cs="Times New Roman"/>
          <w:sz w:val="28"/>
          <w:szCs w:val="28"/>
          <w:highlight w:val="none"/>
        </w:rPr>
        <w:t>楼1</w:t>
      </w:r>
      <w:r>
        <w:rPr>
          <w:rFonts w:hint="eastAsia" w:ascii="宋体" w:hAnsi="宋体" w:cs="Times New Roman"/>
          <w:sz w:val="28"/>
          <w:szCs w:val="28"/>
          <w:highlight w:val="none"/>
          <w:lang w:val="en-US" w:eastAsia="zh-CN"/>
        </w:rPr>
        <w:t>4</w:t>
      </w:r>
      <w:r>
        <w:rPr>
          <w:rFonts w:hint="eastAsia" w:ascii="宋体" w:hAnsi="宋体" w:cs="Times New Roman"/>
          <w:sz w:val="28"/>
          <w:szCs w:val="28"/>
          <w:highlight w:val="none"/>
        </w:rPr>
        <w:t>01</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1402</w:t>
      </w:r>
      <w:r>
        <w:rPr>
          <w:rFonts w:hint="eastAsia" w:ascii="宋体" w:hAnsi="宋体" w:cs="Times New Roman"/>
          <w:sz w:val="28"/>
          <w:szCs w:val="28"/>
          <w:highlight w:val="none"/>
        </w:rPr>
        <w:t>号</w:t>
      </w:r>
    </w:p>
    <w:p w14:paraId="1605694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电话：028-6876 1709</w:t>
      </w:r>
    </w:p>
    <w:p w14:paraId="08F6A7BE">
      <w:pPr>
        <w:widowControl/>
        <w:spacing w:line="600" w:lineRule="exact"/>
        <w:ind w:firstLine="560" w:firstLineChars="200"/>
        <w:jc w:val="left"/>
        <w:rPr>
          <w:rFonts w:ascii="宋体" w:hAnsi="宋体" w:cs="Times New Roman"/>
          <w:sz w:val="28"/>
          <w:szCs w:val="28"/>
          <w:highlight w:val="none"/>
        </w:rPr>
      </w:pPr>
      <w:r>
        <w:rPr>
          <w:rFonts w:ascii="宋体" w:hAnsi="宋体" w:cs="Times New Roman"/>
          <w:sz w:val="28"/>
          <w:szCs w:val="28"/>
          <w:highlight w:val="none"/>
        </w:rPr>
        <w:t>开户银行：</w:t>
      </w:r>
    </w:p>
    <w:p w14:paraId="459472C5">
      <w:pPr>
        <w:widowControl/>
        <w:spacing w:line="600" w:lineRule="exact"/>
        <w:ind w:firstLine="560" w:firstLineChars="200"/>
        <w:jc w:val="left"/>
        <w:rPr>
          <w:rFonts w:ascii="宋体" w:hAnsi="宋体" w:cs="Times New Roman"/>
          <w:sz w:val="28"/>
          <w:szCs w:val="28"/>
          <w:highlight w:val="none"/>
        </w:rPr>
      </w:pPr>
      <w:r>
        <w:rPr>
          <w:rFonts w:hint="eastAsia" w:ascii="宋体" w:hAnsi="宋体" w:cs="Times New Roman"/>
          <w:sz w:val="28"/>
          <w:szCs w:val="28"/>
          <w:highlight w:val="none"/>
        </w:rPr>
        <w:t>银行</w:t>
      </w:r>
      <w:r>
        <w:rPr>
          <w:rFonts w:ascii="宋体" w:hAnsi="宋体" w:cs="Times New Roman"/>
          <w:sz w:val="28"/>
          <w:szCs w:val="28"/>
          <w:highlight w:val="none"/>
        </w:rPr>
        <w:t>账号：</w:t>
      </w:r>
    </w:p>
    <w:p w14:paraId="63E21F4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w:t>
      </w:r>
      <w:r>
        <w:rPr>
          <w:rFonts w:hint="eastAsia" w:ascii="宋体" w:hAnsi="宋体" w:cs="Times New Roman"/>
          <w:sz w:val="28"/>
          <w:szCs w:val="28"/>
          <w:highlight w:val="none"/>
        </w:rPr>
        <w:t>乙方</w:t>
      </w:r>
      <w:r>
        <w:rPr>
          <w:rFonts w:ascii="宋体" w:hAnsi="宋体" w:cs="Times New Roman"/>
          <w:sz w:val="28"/>
          <w:szCs w:val="28"/>
          <w:highlight w:val="none"/>
        </w:rPr>
        <w:t>收款账户信息如下：</w:t>
      </w:r>
    </w:p>
    <w:p w14:paraId="5F3BC08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账户名称：                                          </w:t>
      </w:r>
    </w:p>
    <w:p w14:paraId="41A7955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纳税人识别号：                                           </w:t>
      </w:r>
    </w:p>
    <w:p w14:paraId="2818D60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地  址：                                             </w:t>
      </w:r>
    </w:p>
    <w:p w14:paraId="3AFA3CB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开户行名称：                                                 </w:t>
      </w:r>
    </w:p>
    <w:p w14:paraId="02B6F766">
      <w:pPr>
        <w:spacing w:line="600" w:lineRule="exact"/>
        <w:ind w:firstLine="560" w:firstLineChars="200"/>
        <w:rPr>
          <w:rFonts w:hint="eastAsia" w:ascii="宋体" w:hAnsi="宋体" w:eastAsia="宋体" w:cs="Times New Roman"/>
          <w:sz w:val="28"/>
          <w:szCs w:val="28"/>
          <w:highlight w:val="none"/>
          <w:lang w:val="en-US" w:eastAsia="zh-CN"/>
        </w:rPr>
      </w:pPr>
      <w:r>
        <w:rPr>
          <w:rFonts w:ascii="宋体" w:hAnsi="宋体" w:cs="Times New Roman"/>
          <w:sz w:val="28"/>
          <w:szCs w:val="28"/>
          <w:highlight w:val="none"/>
        </w:rPr>
        <w:t>开户账号：</w:t>
      </w:r>
    </w:p>
    <w:p w14:paraId="3E9AFAF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6.2 价格调整的因素</w:t>
      </w:r>
    </w:p>
    <w:p w14:paraId="7683B2F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工程遇到下列情况</w:t>
      </w:r>
      <w:r>
        <w:rPr>
          <w:rFonts w:hint="eastAsia" w:ascii="宋体" w:hAnsi="宋体" w:cs="Times New Roman"/>
          <w:sz w:val="28"/>
          <w:szCs w:val="28"/>
          <w:highlight w:val="none"/>
        </w:rPr>
        <w:t>，</w:t>
      </w:r>
      <w:r>
        <w:rPr>
          <w:rFonts w:ascii="宋体" w:hAnsi="宋体" w:cs="Times New Roman"/>
          <w:sz w:val="28"/>
          <w:szCs w:val="28"/>
          <w:highlight w:val="none"/>
        </w:rPr>
        <w:t>乙方应在</w:t>
      </w:r>
      <w:r>
        <w:rPr>
          <w:rFonts w:ascii="宋体" w:hAnsi="宋体" w:cs="Times New Roman"/>
          <w:sz w:val="28"/>
          <w:szCs w:val="28"/>
          <w:highlight w:val="none"/>
          <w:u w:val="single"/>
        </w:rPr>
        <w:t xml:space="preserve"> </w:t>
      </w:r>
      <w:r>
        <w:rPr>
          <w:rFonts w:hint="eastAsia" w:ascii="宋体" w:hAnsi="宋体" w:cs="Times New Roman"/>
          <w:sz w:val="28"/>
          <w:szCs w:val="28"/>
          <w:highlight w:val="none"/>
          <w:u w:val="single"/>
        </w:rPr>
        <w:t>7</w:t>
      </w:r>
      <w:r>
        <w:rPr>
          <w:rFonts w:ascii="宋体" w:hAnsi="宋体" w:cs="Times New Roman"/>
          <w:sz w:val="28"/>
          <w:szCs w:val="28"/>
          <w:highlight w:val="none"/>
          <w:u w:val="single"/>
        </w:rPr>
        <w:t xml:space="preserve"> </w:t>
      </w:r>
      <w:r>
        <w:rPr>
          <w:rFonts w:ascii="宋体" w:hAnsi="宋体" w:cs="Times New Roman"/>
          <w:sz w:val="28"/>
          <w:szCs w:val="28"/>
          <w:highlight w:val="none"/>
        </w:rPr>
        <w:t>日内，将调整原因、金额以书面形式通知甲方，甲方确认调整金额后作为</w:t>
      </w:r>
      <w:r>
        <w:rPr>
          <w:rFonts w:hint="eastAsia" w:ascii="宋体" w:hAnsi="宋体" w:cs="Times New Roman"/>
          <w:sz w:val="28"/>
          <w:szCs w:val="28"/>
          <w:highlight w:val="none"/>
        </w:rPr>
        <w:t>合同价款调整的依据</w:t>
      </w:r>
      <w:r>
        <w:rPr>
          <w:rFonts w:ascii="宋体" w:hAnsi="宋体" w:cs="Times New Roman"/>
          <w:sz w:val="28"/>
          <w:szCs w:val="28"/>
          <w:highlight w:val="none"/>
        </w:rPr>
        <w:t>，若合同价款调整超出工程批复或概（预）算</w:t>
      </w:r>
      <w:r>
        <w:rPr>
          <w:rFonts w:hint="eastAsia" w:ascii="宋体" w:hAnsi="宋体" w:cs="Times New Roman"/>
          <w:sz w:val="28"/>
          <w:szCs w:val="28"/>
          <w:highlight w:val="none"/>
        </w:rPr>
        <w:t>需追加合同价款</w:t>
      </w:r>
      <w:r>
        <w:rPr>
          <w:rFonts w:ascii="宋体" w:hAnsi="宋体" w:cs="Times New Roman"/>
          <w:sz w:val="28"/>
          <w:szCs w:val="28"/>
          <w:highlight w:val="none"/>
        </w:rPr>
        <w:t>，乙方应对超出部分做详细的分析说明，并会同甲方报甲方上级部门批准后方可实施，</w:t>
      </w:r>
      <w:r>
        <w:rPr>
          <w:rFonts w:hint="eastAsia" w:ascii="宋体" w:hAnsi="宋体" w:cs="Times New Roman"/>
          <w:sz w:val="28"/>
          <w:szCs w:val="28"/>
          <w:highlight w:val="none"/>
          <w:lang w:val="en-US" w:eastAsia="zh-CN"/>
        </w:rPr>
        <w:t>未经甲方及甲方上级部门书面批准同意的追加调整，</w:t>
      </w:r>
      <w:r>
        <w:rPr>
          <w:rFonts w:ascii="宋体" w:hAnsi="宋体" w:cs="Times New Roman"/>
          <w:sz w:val="28"/>
          <w:szCs w:val="28"/>
          <w:highlight w:val="none"/>
        </w:rPr>
        <w:t>甲方有权拒绝支付该追加部分的合同价款：</w:t>
      </w:r>
    </w:p>
    <w:p w14:paraId="4EF64B8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6.2.1 法律、行政法规和国家有关政策变化影响合同价款；</w:t>
      </w:r>
    </w:p>
    <w:p w14:paraId="0D903F0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6.2.2 国务院有关部门、县级以上人民政府建设行政主管部门或其委托工程造价管理部门公布的价格调整（不包含材料价格）；</w:t>
      </w:r>
    </w:p>
    <w:p w14:paraId="42320D4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6.2.3 甲方同意的工程量增减或设计变更。</w:t>
      </w:r>
    </w:p>
    <w:p w14:paraId="6A5483C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2.4</w:t>
      </w:r>
      <w:r>
        <w:rPr>
          <w:rFonts w:ascii="宋体" w:hAnsi="宋体" w:cs="Times New Roman"/>
          <w:sz w:val="28"/>
          <w:szCs w:val="28"/>
          <w:highlight w:val="none"/>
        </w:rPr>
        <w:t xml:space="preserve"> 价格调整的依据</w:t>
      </w:r>
    </w:p>
    <w:p w14:paraId="66C47698">
      <w:pPr>
        <w:spacing w:line="600" w:lineRule="exact"/>
        <w:ind w:firstLine="560" w:firstLineChars="200"/>
        <w:rPr>
          <w:rFonts w:hint="eastAsia"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2.4.1</w:t>
      </w:r>
      <w:r>
        <w:rPr>
          <w:rFonts w:ascii="宋体" w:hAnsi="宋体" w:cs="Times New Roman"/>
          <w:sz w:val="28"/>
          <w:szCs w:val="28"/>
          <w:highlight w:val="none"/>
        </w:rPr>
        <w:t xml:space="preserve"> 法律、行政法规及国家政策文件</w:t>
      </w:r>
      <w:r>
        <w:rPr>
          <w:rFonts w:hint="eastAsia" w:ascii="宋体" w:hAnsi="宋体" w:cs="Times New Roman"/>
          <w:sz w:val="28"/>
          <w:szCs w:val="28"/>
          <w:highlight w:val="none"/>
        </w:rPr>
        <w:t>。</w:t>
      </w:r>
    </w:p>
    <w:p w14:paraId="55C7607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6.3 竣工结算原则</w:t>
      </w:r>
    </w:p>
    <w:p w14:paraId="637889F1">
      <w:pPr>
        <w:spacing w:line="600" w:lineRule="exact"/>
        <w:ind w:firstLine="560" w:firstLineChars="200"/>
        <w:rPr>
          <w:rFonts w:hint="eastAsia" w:ascii="宋体" w:hAnsi="宋体" w:cs="Times New Roman"/>
          <w:sz w:val="28"/>
          <w:szCs w:val="28"/>
          <w:highlight w:val="none"/>
        </w:rPr>
      </w:pPr>
      <w:r>
        <w:rPr>
          <w:rFonts w:ascii="宋体" w:hAnsi="宋体" w:cs="Times New Roman"/>
          <w:sz w:val="28"/>
          <w:szCs w:val="28"/>
          <w:highlight w:val="none"/>
        </w:rPr>
        <w:t>本工程为固定单价合同，</w:t>
      </w:r>
      <w:r>
        <w:rPr>
          <w:rFonts w:hint="eastAsia" w:ascii="宋体" w:hAnsi="宋体" w:cs="Times New Roman"/>
          <w:sz w:val="28"/>
          <w:szCs w:val="28"/>
          <w:highlight w:val="none"/>
        </w:rPr>
        <w:t>工程数量按实结算，计量计价与结算在招标控制价</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施工图预算</w:t>
      </w:r>
      <w:r>
        <w:rPr>
          <w:rFonts w:hint="eastAsia" w:ascii="宋体" w:hAnsi="宋体" w:cs="Times New Roman"/>
          <w:sz w:val="28"/>
          <w:szCs w:val="28"/>
          <w:highlight w:val="none"/>
          <w:lang w:eastAsia="zh-CN"/>
        </w:rPr>
        <w:t>）</w:t>
      </w:r>
      <w:r>
        <w:rPr>
          <w:rFonts w:hint="eastAsia" w:ascii="宋体" w:hAnsi="宋体" w:cs="Times New Roman"/>
          <w:sz w:val="28"/>
          <w:szCs w:val="28"/>
          <w:highlight w:val="none"/>
        </w:rPr>
        <w:t>基础上按照</w:t>
      </w:r>
      <w:r>
        <w:rPr>
          <w:rFonts w:hint="eastAsia" w:ascii="宋体" w:hAnsi="宋体" w:cs="Times New Roman"/>
          <w:sz w:val="28"/>
          <w:szCs w:val="28"/>
          <w:highlight w:val="none"/>
          <w:lang w:val="en-US" w:eastAsia="zh-CN"/>
        </w:rPr>
        <w:t>《GB50500-2013建设工程工程量清单计价规范》</w:t>
      </w:r>
      <w:r>
        <w:rPr>
          <w:rFonts w:hint="eastAsia" w:ascii="宋体" w:hAnsi="宋体" w:cs="Times New Roman"/>
          <w:sz w:val="28"/>
          <w:szCs w:val="28"/>
          <w:highlight w:val="none"/>
        </w:rPr>
        <w:t>进行，并结合中选取费比例确定结算金额(其中规费以及安全文明施工费不下浮）。</w:t>
      </w:r>
    </w:p>
    <w:p w14:paraId="130A863D">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竣工结算</w:t>
      </w:r>
      <w:r>
        <w:rPr>
          <w:rFonts w:ascii="宋体" w:hAnsi="宋体" w:cs="Times New Roman"/>
          <w:sz w:val="28"/>
          <w:szCs w:val="28"/>
          <w:highlight w:val="none"/>
        </w:rPr>
        <w:t>原则如下：</w:t>
      </w:r>
    </w:p>
    <w:p w14:paraId="402BFD1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6.3.1 本项目工程量计算规则应按有关国家标准、行业标准的规定执行。乙方应严格按施工图纸施工，在未经甲方书面同意的前提下，乙方未按图纸施工造成实际工程量增减的情况发生时，实际工程量超过《</w:t>
      </w:r>
      <w:r>
        <w:rPr>
          <w:rFonts w:hint="eastAsia" w:ascii="宋体" w:hAnsi="宋体" w:cs="Times New Roman"/>
          <w:sz w:val="28"/>
          <w:szCs w:val="28"/>
          <w:highlight w:val="none"/>
        </w:rPr>
        <w:t>招标控制价清单</w:t>
      </w:r>
      <w:r>
        <w:rPr>
          <w:rFonts w:ascii="宋体" w:hAnsi="宋体" w:cs="Times New Roman"/>
          <w:sz w:val="28"/>
          <w:szCs w:val="28"/>
          <w:highlight w:val="none"/>
        </w:rPr>
        <w:t>》时按《</w:t>
      </w:r>
      <w:r>
        <w:rPr>
          <w:rFonts w:hint="eastAsia" w:ascii="宋体" w:hAnsi="宋体" w:cs="Times New Roman"/>
          <w:sz w:val="28"/>
          <w:szCs w:val="28"/>
          <w:highlight w:val="none"/>
        </w:rPr>
        <w:t>招标控制价清单</w:t>
      </w:r>
      <w:r>
        <w:rPr>
          <w:rFonts w:ascii="宋体" w:hAnsi="宋体" w:cs="Times New Roman"/>
          <w:sz w:val="28"/>
          <w:szCs w:val="28"/>
          <w:highlight w:val="none"/>
        </w:rPr>
        <w:t>》</w:t>
      </w:r>
      <w:r>
        <w:rPr>
          <w:rFonts w:hint="eastAsia" w:ascii="宋体" w:hAnsi="宋体" w:cs="Times New Roman"/>
          <w:sz w:val="28"/>
          <w:szCs w:val="28"/>
          <w:highlight w:val="none"/>
        </w:rPr>
        <w:t>执行，实际工程量不足</w:t>
      </w:r>
      <w:r>
        <w:rPr>
          <w:rFonts w:ascii="宋体" w:hAnsi="宋体" w:cs="Times New Roman"/>
          <w:sz w:val="28"/>
          <w:szCs w:val="28"/>
          <w:highlight w:val="none"/>
        </w:rPr>
        <w:t>《</w:t>
      </w:r>
      <w:r>
        <w:rPr>
          <w:rFonts w:hint="eastAsia" w:ascii="宋体" w:hAnsi="宋体" w:cs="Times New Roman"/>
          <w:sz w:val="28"/>
          <w:szCs w:val="28"/>
          <w:highlight w:val="none"/>
        </w:rPr>
        <w:t>招标控制价清单</w:t>
      </w:r>
      <w:r>
        <w:rPr>
          <w:rFonts w:ascii="宋体" w:hAnsi="宋体" w:cs="Times New Roman"/>
          <w:sz w:val="28"/>
          <w:szCs w:val="28"/>
          <w:highlight w:val="none"/>
        </w:rPr>
        <w:t>》</w:t>
      </w:r>
      <w:r>
        <w:rPr>
          <w:rFonts w:hint="eastAsia" w:ascii="宋体" w:hAnsi="宋体" w:cs="Times New Roman"/>
          <w:sz w:val="28"/>
          <w:szCs w:val="28"/>
          <w:highlight w:val="none"/>
        </w:rPr>
        <w:t>时按实际工程量执行</w:t>
      </w:r>
      <w:r>
        <w:rPr>
          <w:rFonts w:ascii="宋体" w:hAnsi="宋体" w:cs="Times New Roman"/>
          <w:sz w:val="28"/>
          <w:szCs w:val="28"/>
          <w:highlight w:val="none"/>
        </w:rPr>
        <w:t>。</w:t>
      </w:r>
    </w:p>
    <w:p w14:paraId="61337E4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6.3.2 由于甲方所提供的《</w:t>
      </w:r>
      <w:r>
        <w:rPr>
          <w:rFonts w:hint="eastAsia" w:ascii="宋体" w:hAnsi="宋体" w:cs="Times New Roman"/>
          <w:sz w:val="28"/>
          <w:szCs w:val="28"/>
          <w:highlight w:val="none"/>
        </w:rPr>
        <w:t>招标控制价清单</w:t>
      </w:r>
      <w:r>
        <w:rPr>
          <w:rFonts w:ascii="宋体" w:hAnsi="宋体" w:cs="Times New Roman"/>
          <w:sz w:val="28"/>
          <w:szCs w:val="28"/>
          <w:highlight w:val="none"/>
        </w:rPr>
        <w:t>》漏项或设计变更引起的新的工程量清单项目，其结算方式按以下方式计算：</w:t>
      </w:r>
    </w:p>
    <w:p w14:paraId="61795F8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6.3.2.1 《</w:t>
      </w:r>
      <w:r>
        <w:rPr>
          <w:rFonts w:hint="eastAsia" w:ascii="宋体" w:hAnsi="宋体" w:cs="Times New Roman"/>
          <w:sz w:val="28"/>
          <w:szCs w:val="28"/>
          <w:highlight w:val="none"/>
        </w:rPr>
        <w:t>招标控制价清单</w:t>
      </w:r>
      <w:r>
        <w:rPr>
          <w:rFonts w:ascii="宋体" w:hAnsi="宋体" w:cs="Times New Roman"/>
          <w:sz w:val="28"/>
          <w:szCs w:val="28"/>
          <w:highlight w:val="none"/>
        </w:rPr>
        <w:t>》中有适用于变更工作的项目时，应采用该项目的单价或合价；</w:t>
      </w:r>
    </w:p>
    <w:p w14:paraId="528786D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6.3.2.2 《</w:t>
      </w:r>
      <w:r>
        <w:rPr>
          <w:rFonts w:hint="eastAsia" w:ascii="宋体" w:hAnsi="宋体" w:cs="Times New Roman"/>
          <w:sz w:val="28"/>
          <w:szCs w:val="28"/>
          <w:highlight w:val="none"/>
        </w:rPr>
        <w:t>招标控制价清单</w:t>
      </w:r>
      <w:r>
        <w:rPr>
          <w:rFonts w:ascii="宋体" w:hAnsi="宋体" w:cs="Times New Roman"/>
          <w:sz w:val="28"/>
          <w:szCs w:val="28"/>
          <w:highlight w:val="none"/>
        </w:rPr>
        <w:t>》中只有类似变更工作的项目时，则参照清单该项目的单价作为变更估价的基础，经甲方换算</w:t>
      </w:r>
      <w:r>
        <w:rPr>
          <w:rFonts w:hint="eastAsia" w:ascii="宋体" w:hAnsi="宋体" w:cs="Times New Roman"/>
          <w:sz w:val="28"/>
          <w:szCs w:val="28"/>
          <w:highlight w:val="none"/>
          <w:lang w:val="en-US" w:eastAsia="zh-CN"/>
        </w:rPr>
        <w:t>并经乙方确认</w:t>
      </w:r>
      <w:r>
        <w:rPr>
          <w:rFonts w:ascii="宋体" w:hAnsi="宋体" w:cs="Times New Roman"/>
          <w:sz w:val="28"/>
          <w:szCs w:val="28"/>
          <w:highlight w:val="none"/>
        </w:rPr>
        <w:t>后确定。</w:t>
      </w:r>
    </w:p>
    <w:p w14:paraId="24D6382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类似清单项目单价调整方式：可按面积、体积、重量、长度、厚度</w:t>
      </w:r>
      <w:r>
        <w:rPr>
          <w:rFonts w:hint="eastAsia" w:ascii="宋体" w:hAnsi="宋体" w:cs="Times New Roman"/>
          <w:sz w:val="28"/>
          <w:szCs w:val="28"/>
          <w:highlight w:val="none"/>
          <w:lang w:val="en-US" w:eastAsia="zh-CN"/>
        </w:rPr>
        <w:t>等比例关系进行换算</w:t>
      </w:r>
      <w:r>
        <w:rPr>
          <w:rFonts w:ascii="宋体" w:hAnsi="宋体" w:cs="Times New Roman"/>
          <w:sz w:val="28"/>
          <w:szCs w:val="28"/>
          <w:highlight w:val="none"/>
        </w:rPr>
        <w:t>（如</w:t>
      </w:r>
      <w:r>
        <w:rPr>
          <w:rFonts w:hint="eastAsia" w:ascii="宋体" w:hAnsi="宋体" w:cs="Times New Roman"/>
          <w:sz w:val="28"/>
          <w:szCs w:val="28"/>
          <w:highlight w:val="none"/>
        </w:rPr>
        <w:t>标识标牌</w:t>
      </w:r>
      <w:r>
        <w:rPr>
          <w:rFonts w:ascii="宋体" w:hAnsi="宋体" w:cs="Times New Roman"/>
          <w:sz w:val="28"/>
          <w:szCs w:val="28"/>
          <w:highlight w:val="none"/>
        </w:rPr>
        <w:t>规格与清单不同，可按最接近规格换算为面积比例关系折算）；如材料不同仅换算材料价差，不再调整其他费用，除非其严重影响施工工艺和方法。</w:t>
      </w:r>
    </w:p>
    <w:p w14:paraId="241BECE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6.3.2.3 《</w:t>
      </w:r>
      <w:r>
        <w:rPr>
          <w:rFonts w:hint="eastAsia" w:ascii="宋体" w:hAnsi="宋体" w:cs="Times New Roman"/>
          <w:sz w:val="28"/>
          <w:szCs w:val="28"/>
          <w:highlight w:val="none"/>
        </w:rPr>
        <w:t>招标控制价清单</w:t>
      </w:r>
      <w:r>
        <w:rPr>
          <w:rFonts w:ascii="宋体" w:hAnsi="宋体" w:cs="Times New Roman"/>
          <w:sz w:val="28"/>
          <w:szCs w:val="28"/>
          <w:highlight w:val="none"/>
        </w:rPr>
        <w:t>》中无类似项目的单价可供参考的，由</w:t>
      </w:r>
      <w:r>
        <w:rPr>
          <w:rFonts w:hint="eastAsia" w:ascii="宋体" w:hAnsi="宋体" w:cs="Times New Roman"/>
          <w:sz w:val="28"/>
          <w:szCs w:val="28"/>
          <w:highlight w:val="none"/>
          <w:lang w:val="en-US" w:eastAsia="zh-CN"/>
        </w:rPr>
        <w:t>乙方</w:t>
      </w:r>
      <w:r>
        <w:rPr>
          <w:rFonts w:ascii="宋体" w:hAnsi="宋体" w:cs="Times New Roman"/>
          <w:sz w:val="28"/>
          <w:szCs w:val="28"/>
          <w:highlight w:val="none"/>
        </w:rPr>
        <w:t>根据《四川省建设工程工程量清单计价定额》(20</w:t>
      </w:r>
      <w:r>
        <w:rPr>
          <w:rFonts w:hint="eastAsia" w:ascii="宋体" w:hAnsi="宋体" w:cs="Times New Roman"/>
          <w:sz w:val="28"/>
          <w:szCs w:val="28"/>
          <w:highlight w:val="none"/>
        </w:rPr>
        <w:t>20</w:t>
      </w:r>
      <w:r>
        <w:rPr>
          <w:rFonts w:ascii="宋体" w:hAnsi="宋体" w:cs="Times New Roman"/>
          <w:sz w:val="28"/>
          <w:szCs w:val="28"/>
          <w:highlight w:val="none"/>
        </w:rPr>
        <w:t>)计算综合单价（综合单价包括人工费、材料费、机械使用费</w:t>
      </w:r>
      <w:r>
        <w:rPr>
          <w:rFonts w:hint="eastAsia" w:ascii="宋体" w:hAnsi="宋体" w:cs="Times New Roman"/>
          <w:sz w:val="28"/>
          <w:szCs w:val="28"/>
          <w:highlight w:val="none"/>
        </w:rPr>
        <w:t>、综合费</w:t>
      </w:r>
      <w:r>
        <w:rPr>
          <w:rFonts w:ascii="宋体" w:hAnsi="宋体" w:cs="Times New Roman"/>
          <w:sz w:val="28"/>
          <w:szCs w:val="28"/>
          <w:highlight w:val="none"/>
        </w:rPr>
        <w:t>），并报甲方核准，材料价格按甲方招标控制价中的</w:t>
      </w:r>
      <w:r>
        <w:rPr>
          <w:rFonts w:hint="eastAsia" w:ascii="宋体" w:hAnsi="宋体" w:cs="Times New Roman"/>
          <w:sz w:val="28"/>
          <w:szCs w:val="28"/>
          <w:highlight w:val="none"/>
        </w:rPr>
        <w:t>对应</w:t>
      </w:r>
      <w:r>
        <w:rPr>
          <w:rFonts w:ascii="宋体" w:hAnsi="宋体" w:cs="Times New Roman"/>
          <w:sz w:val="28"/>
          <w:szCs w:val="28"/>
          <w:highlight w:val="none"/>
        </w:rPr>
        <w:t>材料价格执行。若控制价中无此类材料价格，则材料价格</w:t>
      </w:r>
      <w:r>
        <w:rPr>
          <w:rFonts w:hint="eastAsia" w:ascii="宋体" w:hAnsi="宋体" w:cs="Times New Roman"/>
          <w:sz w:val="28"/>
          <w:szCs w:val="28"/>
          <w:highlight w:val="none"/>
        </w:rPr>
        <w:t>按照《四川省</w:t>
      </w:r>
      <w:r>
        <w:rPr>
          <w:rFonts w:ascii="宋体" w:hAnsi="宋体" w:cs="Times New Roman"/>
          <w:sz w:val="28"/>
          <w:szCs w:val="28"/>
          <w:highlight w:val="none"/>
        </w:rPr>
        <w:t>工程造价信息</w:t>
      </w:r>
      <w:r>
        <w:rPr>
          <w:rFonts w:hint="eastAsia" w:ascii="宋体" w:hAnsi="宋体" w:cs="Times New Roman"/>
          <w:sz w:val="28"/>
          <w:szCs w:val="28"/>
          <w:highlight w:val="none"/>
        </w:rPr>
        <w:t>》</w:t>
      </w:r>
      <w:r>
        <w:rPr>
          <w:rFonts w:ascii="宋体" w:hAnsi="宋体" w:cs="Times New Roman"/>
          <w:sz w:val="28"/>
          <w:szCs w:val="28"/>
          <w:highlight w:val="none"/>
        </w:rPr>
        <w:t>中对应材料价格确定</w:t>
      </w:r>
      <w:r>
        <w:rPr>
          <w:rFonts w:hint="eastAsia" w:ascii="宋体" w:hAnsi="宋体" w:cs="Times New Roman"/>
          <w:sz w:val="28"/>
          <w:szCs w:val="28"/>
          <w:highlight w:val="none"/>
        </w:rPr>
        <w:t>，若《四川省</w:t>
      </w:r>
      <w:r>
        <w:rPr>
          <w:rFonts w:ascii="宋体" w:hAnsi="宋体" w:cs="Times New Roman"/>
          <w:sz w:val="28"/>
          <w:szCs w:val="28"/>
          <w:highlight w:val="none"/>
        </w:rPr>
        <w:t>工程造价信息</w:t>
      </w:r>
      <w:r>
        <w:rPr>
          <w:rFonts w:hint="eastAsia" w:ascii="宋体" w:hAnsi="宋体" w:cs="Times New Roman"/>
          <w:sz w:val="28"/>
          <w:szCs w:val="28"/>
          <w:highlight w:val="none"/>
        </w:rPr>
        <w:t>》</w:t>
      </w:r>
      <w:r>
        <w:rPr>
          <w:rFonts w:ascii="宋体" w:hAnsi="宋体" w:cs="Times New Roman"/>
          <w:sz w:val="28"/>
          <w:szCs w:val="28"/>
          <w:highlight w:val="none"/>
        </w:rPr>
        <w:t>中</w:t>
      </w:r>
      <w:r>
        <w:rPr>
          <w:rFonts w:hint="eastAsia" w:ascii="宋体" w:hAnsi="宋体" w:cs="Times New Roman"/>
          <w:sz w:val="28"/>
          <w:szCs w:val="28"/>
          <w:highlight w:val="none"/>
        </w:rPr>
        <w:t>无</w:t>
      </w:r>
      <w:r>
        <w:rPr>
          <w:rFonts w:ascii="宋体" w:hAnsi="宋体" w:cs="Times New Roman"/>
          <w:sz w:val="28"/>
          <w:szCs w:val="28"/>
          <w:highlight w:val="none"/>
        </w:rPr>
        <w:t>对应材料价格</w:t>
      </w:r>
      <w:r>
        <w:rPr>
          <w:rFonts w:hint="eastAsia" w:ascii="宋体" w:hAnsi="宋体" w:cs="Times New Roman"/>
          <w:sz w:val="28"/>
          <w:szCs w:val="28"/>
          <w:highlight w:val="none"/>
        </w:rPr>
        <w:t>的，按照</w:t>
      </w:r>
      <w:r>
        <w:rPr>
          <w:rFonts w:ascii="宋体" w:hAnsi="宋体" w:cs="Times New Roman"/>
          <w:sz w:val="28"/>
          <w:szCs w:val="28"/>
          <w:highlight w:val="none"/>
        </w:rPr>
        <w:t>相应</w:t>
      </w:r>
      <w:r>
        <w:rPr>
          <w:rFonts w:hint="eastAsia" w:ascii="宋体" w:hAnsi="宋体" w:cs="Times New Roman"/>
          <w:sz w:val="28"/>
          <w:szCs w:val="28"/>
          <w:highlight w:val="none"/>
        </w:rPr>
        <w:t>站点</w:t>
      </w:r>
      <w:r>
        <w:rPr>
          <w:rFonts w:ascii="宋体" w:hAnsi="宋体" w:cs="Times New Roman"/>
          <w:sz w:val="28"/>
          <w:szCs w:val="28"/>
          <w:highlight w:val="none"/>
        </w:rPr>
        <w:t>项目所在地市州工程造价管理部门印发的《工程造价信息》中对应材料价格确定。</w:t>
      </w:r>
      <w:r>
        <w:rPr>
          <w:rFonts w:hint="eastAsia" w:ascii="宋体" w:hAnsi="宋体" w:cs="Times New Roman"/>
          <w:sz w:val="28"/>
          <w:szCs w:val="28"/>
          <w:highlight w:val="none"/>
        </w:rPr>
        <w:t>依然</w:t>
      </w:r>
      <w:r>
        <w:rPr>
          <w:rFonts w:ascii="宋体" w:hAnsi="宋体" w:cs="Times New Roman"/>
          <w:sz w:val="28"/>
          <w:szCs w:val="28"/>
          <w:highlight w:val="none"/>
        </w:rPr>
        <w:t>没有《工程造价信息》的材料或设备由双方通过市场询价确定。</w:t>
      </w:r>
    </w:p>
    <w:p w14:paraId="2C3E81E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6.3.2.4 若取消某</w:t>
      </w:r>
      <w:r>
        <w:rPr>
          <w:rFonts w:hint="eastAsia" w:ascii="宋体" w:hAnsi="宋体" w:cs="Times New Roman"/>
          <w:sz w:val="28"/>
          <w:szCs w:val="28"/>
          <w:highlight w:val="none"/>
          <w:lang w:val="en-US" w:eastAsia="zh-CN"/>
        </w:rPr>
        <w:t>分部分项工程</w:t>
      </w:r>
      <w:r>
        <w:rPr>
          <w:rFonts w:ascii="宋体" w:hAnsi="宋体" w:cs="Times New Roman"/>
          <w:sz w:val="28"/>
          <w:szCs w:val="28"/>
          <w:highlight w:val="none"/>
        </w:rPr>
        <w:t>，则该</w:t>
      </w:r>
      <w:r>
        <w:rPr>
          <w:rFonts w:hint="eastAsia" w:ascii="宋体" w:hAnsi="宋体" w:cs="Times New Roman"/>
          <w:sz w:val="28"/>
          <w:szCs w:val="28"/>
          <w:highlight w:val="none"/>
          <w:lang w:val="en-US" w:eastAsia="zh-CN"/>
        </w:rPr>
        <w:t>分部分项工程</w:t>
      </w:r>
      <w:r>
        <w:rPr>
          <w:rFonts w:ascii="宋体" w:hAnsi="宋体" w:cs="Times New Roman"/>
          <w:sz w:val="28"/>
          <w:szCs w:val="28"/>
          <w:highlight w:val="none"/>
        </w:rPr>
        <w:t>的价款不予支付</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乙方已产生的该项目成本费用由双方协商解决</w:t>
      </w:r>
      <w:r>
        <w:rPr>
          <w:rFonts w:ascii="宋体" w:hAnsi="宋体" w:cs="Times New Roman"/>
          <w:sz w:val="28"/>
          <w:szCs w:val="28"/>
          <w:highlight w:val="none"/>
        </w:rPr>
        <w:t>。</w:t>
      </w:r>
    </w:p>
    <w:p w14:paraId="1AAE6750">
      <w:pPr>
        <w:spacing w:line="600" w:lineRule="exact"/>
        <w:ind w:firstLine="560"/>
        <w:rPr>
          <w:rFonts w:ascii="宋体" w:hAnsi="宋体" w:cs="Times New Roman"/>
          <w:color w:val="FF0000"/>
          <w:sz w:val="28"/>
          <w:szCs w:val="28"/>
          <w:highlight w:val="none"/>
        </w:rPr>
      </w:pPr>
      <w:r>
        <w:rPr>
          <w:rFonts w:ascii="宋体" w:hAnsi="宋体" w:cs="Times New Roman"/>
          <w:sz w:val="28"/>
          <w:szCs w:val="28"/>
          <w:highlight w:val="none"/>
        </w:rPr>
        <w:t>6.3.2.5工程变更的办理流程</w:t>
      </w:r>
      <w:r>
        <w:rPr>
          <w:rFonts w:hint="eastAsia" w:ascii="宋体" w:hAnsi="宋体" w:cs="Times New Roman"/>
          <w:sz w:val="28"/>
          <w:szCs w:val="28"/>
          <w:highlight w:val="none"/>
        </w:rPr>
        <w:t xml:space="preserve">  </w:t>
      </w:r>
    </w:p>
    <w:p w14:paraId="746B79A4">
      <w:pPr>
        <w:spacing w:line="600" w:lineRule="exact"/>
        <w:ind w:firstLine="560"/>
        <w:rPr>
          <w:rFonts w:ascii="宋体" w:hAnsi="宋体" w:cs="Times New Roman"/>
          <w:sz w:val="28"/>
          <w:szCs w:val="28"/>
          <w:highlight w:val="none"/>
        </w:rPr>
      </w:pPr>
      <w:r>
        <w:rPr>
          <w:rFonts w:ascii="宋体" w:hAnsi="宋体" w:cs="Times New Roman"/>
          <w:sz w:val="28"/>
          <w:szCs w:val="28"/>
          <w:highlight w:val="none"/>
        </w:rPr>
        <w:t>按照</w:t>
      </w:r>
      <w:r>
        <w:rPr>
          <w:rFonts w:hint="eastAsia" w:ascii="宋体" w:hAnsi="宋体" w:cs="Times New Roman"/>
          <w:sz w:val="28"/>
          <w:szCs w:val="28"/>
          <w:highlight w:val="none"/>
        </w:rPr>
        <w:t>四川蜀道新能源科技发展有限公司</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高速公路服务区充电站工程项目建设管理办法（试行）</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设计变更管理办法（试行）</w:t>
      </w:r>
      <w:r>
        <w:rPr>
          <w:rFonts w:hint="eastAsia" w:ascii="宋体" w:hAnsi="宋体" w:cs="Times New Roman"/>
          <w:sz w:val="28"/>
          <w:szCs w:val="28"/>
          <w:highlight w:val="none"/>
          <w:lang w:eastAsia="zh-CN"/>
        </w:rPr>
        <w:t>》</w:t>
      </w:r>
      <w:r>
        <w:rPr>
          <w:rFonts w:hint="eastAsia" w:ascii="宋体" w:hAnsi="宋体" w:cs="Times New Roman"/>
          <w:sz w:val="28"/>
          <w:szCs w:val="28"/>
          <w:highlight w:val="none"/>
        </w:rPr>
        <w:t>办法</w:t>
      </w:r>
      <w:r>
        <w:rPr>
          <w:rFonts w:ascii="宋体" w:hAnsi="宋体" w:cs="Times New Roman"/>
          <w:sz w:val="28"/>
          <w:szCs w:val="28"/>
          <w:highlight w:val="none"/>
        </w:rPr>
        <w:t>执行。</w:t>
      </w:r>
    </w:p>
    <w:p w14:paraId="5313EC2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6.3.3 </w:t>
      </w:r>
      <w:r>
        <w:rPr>
          <w:rFonts w:hint="eastAsia" w:ascii="宋体" w:hAnsi="宋体" w:cs="Times New Roman"/>
          <w:sz w:val="28"/>
          <w:szCs w:val="28"/>
          <w:highlight w:val="none"/>
        </w:rPr>
        <w:t>计费规定</w:t>
      </w:r>
      <w:r>
        <w:rPr>
          <w:rFonts w:ascii="宋体" w:hAnsi="宋体" w:cs="Times New Roman"/>
          <w:sz w:val="28"/>
          <w:szCs w:val="28"/>
          <w:highlight w:val="none"/>
        </w:rPr>
        <w:t>：</w:t>
      </w:r>
    </w:p>
    <w:p w14:paraId="6872F769">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 xml:space="preserve">① </w:t>
      </w:r>
      <w:r>
        <w:rPr>
          <w:rFonts w:hint="eastAsia" w:ascii="宋体" w:hAnsi="宋体" w:cs="Times New Roman"/>
          <w:sz w:val="28"/>
          <w:szCs w:val="28"/>
          <w:highlight w:val="none"/>
          <w:lang w:val="en-US" w:eastAsia="zh-CN"/>
        </w:rPr>
        <w:t>安全文明施工措施费（文明施工费、安全施工费、环境保护费、临时设施费）</w:t>
      </w:r>
      <w:r>
        <w:rPr>
          <w:rFonts w:ascii="宋体" w:hAnsi="宋体" w:cs="Times New Roman"/>
          <w:sz w:val="28"/>
          <w:szCs w:val="28"/>
          <w:highlight w:val="none"/>
        </w:rPr>
        <w:t>按</w:t>
      </w:r>
      <w:r>
        <w:rPr>
          <w:rFonts w:hint="eastAsia" w:ascii="宋体" w:hAnsi="宋体" w:cs="Times New Roman"/>
          <w:sz w:val="28"/>
          <w:szCs w:val="28"/>
          <w:highlight w:val="none"/>
        </w:rPr>
        <w:t>招标控制价清单</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施工图预算</w:t>
      </w:r>
      <w:r>
        <w:rPr>
          <w:rFonts w:hint="eastAsia" w:ascii="宋体" w:hAnsi="宋体" w:cs="Times New Roman"/>
          <w:sz w:val="28"/>
          <w:szCs w:val="28"/>
          <w:highlight w:val="none"/>
          <w:lang w:eastAsia="zh-CN"/>
        </w:rPr>
        <w:t>）</w:t>
      </w:r>
      <w:r>
        <w:rPr>
          <w:rFonts w:hint="eastAsia" w:ascii="宋体" w:hAnsi="宋体" w:cs="Times New Roman"/>
          <w:sz w:val="28"/>
          <w:szCs w:val="28"/>
          <w:highlight w:val="none"/>
        </w:rPr>
        <w:t>金额包干使用进行</w:t>
      </w:r>
      <w:r>
        <w:rPr>
          <w:rFonts w:ascii="宋体" w:hAnsi="宋体" w:cs="Times New Roman"/>
          <w:sz w:val="28"/>
          <w:szCs w:val="28"/>
          <w:highlight w:val="none"/>
        </w:rPr>
        <w:t>结算</w:t>
      </w:r>
      <w:r>
        <w:rPr>
          <w:rFonts w:hint="eastAsia" w:ascii="宋体" w:hAnsi="宋体" w:cs="Times New Roman"/>
          <w:sz w:val="28"/>
          <w:szCs w:val="28"/>
          <w:highlight w:val="none"/>
          <w:lang w:val="en-US" w:eastAsia="zh-CN"/>
        </w:rPr>
        <w:t>，</w:t>
      </w:r>
      <w:r>
        <w:rPr>
          <w:rFonts w:hint="eastAsia" w:ascii="宋体" w:hAnsi="宋体" w:cs="Times New Roman"/>
          <w:sz w:val="28"/>
          <w:szCs w:val="28"/>
          <w:highlight w:val="none"/>
        </w:rPr>
        <w:t>其余总价措施费（若有）按招标控制价清单</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施工图预算</w:t>
      </w:r>
      <w:r>
        <w:rPr>
          <w:rFonts w:hint="eastAsia" w:ascii="宋体" w:hAnsi="宋体" w:cs="Times New Roman"/>
          <w:sz w:val="28"/>
          <w:szCs w:val="28"/>
          <w:highlight w:val="none"/>
          <w:lang w:eastAsia="zh-CN"/>
        </w:rPr>
        <w:t>）</w:t>
      </w:r>
      <w:r>
        <w:rPr>
          <w:rFonts w:hint="eastAsia" w:ascii="宋体" w:hAnsi="宋体" w:cs="Times New Roman"/>
          <w:sz w:val="28"/>
          <w:szCs w:val="28"/>
          <w:highlight w:val="none"/>
        </w:rPr>
        <w:t>金额结合中选取费比例按照合同约定办理</w:t>
      </w:r>
      <w:r>
        <w:rPr>
          <w:rFonts w:ascii="宋体" w:hAnsi="宋体" w:cs="Times New Roman"/>
          <w:sz w:val="28"/>
          <w:szCs w:val="28"/>
          <w:highlight w:val="none"/>
        </w:rPr>
        <w:t>。</w:t>
      </w:r>
      <w:r>
        <w:rPr>
          <w:rFonts w:hint="eastAsia" w:ascii="宋体" w:hAnsi="宋体" w:cs="Times New Roman"/>
          <w:sz w:val="28"/>
          <w:szCs w:val="28"/>
          <w:highlight w:val="none"/>
        </w:rPr>
        <w:t>工程竣工结算时，</w:t>
      </w:r>
      <w:r>
        <w:rPr>
          <w:rFonts w:hint="eastAsia" w:ascii="宋体" w:hAnsi="宋体" w:cs="Times New Roman"/>
          <w:sz w:val="28"/>
          <w:szCs w:val="28"/>
          <w:highlight w:val="none"/>
          <w:lang w:val="en-US" w:eastAsia="zh-CN"/>
        </w:rPr>
        <w:t>当施工现场的围护所发生的围挡费用超过定额安全文明施工基本费的40%时，超过部分的施工现场围挡费用按施工围挡项单价计算。</w:t>
      </w:r>
    </w:p>
    <w:p w14:paraId="360F548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②计日工按四川省造价站发布的地区性文件执行，乙方不报价，实际发生时，办理签证。</w:t>
      </w:r>
    </w:p>
    <w:p w14:paraId="287C3A8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6.3.</w:t>
      </w:r>
      <w:r>
        <w:rPr>
          <w:rFonts w:hint="eastAsia" w:ascii="宋体" w:hAnsi="宋体" w:cs="Times New Roman"/>
          <w:sz w:val="28"/>
          <w:szCs w:val="28"/>
          <w:highlight w:val="none"/>
        </w:rPr>
        <w:t>4</w:t>
      </w:r>
      <w:r>
        <w:rPr>
          <w:rFonts w:ascii="宋体" w:hAnsi="宋体" w:cs="Times New Roman"/>
          <w:sz w:val="28"/>
          <w:szCs w:val="28"/>
          <w:highlight w:val="none"/>
        </w:rPr>
        <w:t xml:space="preserve"> 可调价材料品种及材料价差的调整</w:t>
      </w:r>
      <w:r>
        <w:rPr>
          <w:rFonts w:hint="eastAsia" w:ascii="宋体" w:hAnsi="宋体" w:cs="Times New Roman"/>
          <w:sz w:val="28"/>
          <w:szCs w:val="28"/>
          <w:highlight w:val="none"/>
        </w:rPr>
        <w:t>：本项目</w:t>
      </w:r>
      <w:r>
        <w:rPr>
          <w:rFonts w:ascii="宋体" w:hAnsi="宋体" w:cs="Times New Roman"/>
          <w:sz w:val="28"/>
          <w:szCs w:val="28"/>
          <w:highlight w:val="none"/>
        </w:rPr>
        <w:t>不作调整</w:t>
      </w:r>
      <w:r>
        <w:rPr>
          <w:rFonts w:hint="eastAsia" w:ascii="宋体" w:hAnsi="宋体" w:cs="Times New Roman"/>
          <w:sz w:val="28"/>
          <w:szCs w:val="28"/>
          <w:highlight w:val="none"/>
        </w:rPr>
        <w:t>。</w:t>
      </w:r>
      <w:r>
        <w:rPr>
          <w:rFonts w:ascii="宋体" w:hAnsi="宋体" w:cs="Times New Roman"/>
          <w:sz w:val="28"/>
          <w:szCs w:val="28"/>
          <w:highlight w:val="none"/>
        </w:rPr>
        <w:t xml:space="preserve">    </w:t>
      </w:r>
    </w:p>
    <w:p w14:paraId="48E772C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6.3.</w:t>
      </w:r>
      <w:r>
        <w:rPr>
          <w:rFonts w:hint="eastAsia" w:ascii="宋体" w:hAnsi="宋体" w:cs="Times New Roman"/>
          <w:sz w:val="28"/>
          <w:szCs w:val="28"/>
          <w:highlight w:val="none"/>
        </w:rPr>
        <w:t>5</w:t>
      </w:r>
      <w:r>
        <w:rPr>
          <w:rFonts w:ascii="宋体" w:hAnsi="宋体" w:cs="Times New Roman"/>
          <w:sz w:val="28"/>
          <w:szCs w:val="28"/>
          <w:highlight w:val="none"/>
        </w:rPr>
        <w:t xml:space="preserve"> </w:t>
      </w:r>
      <w:r>
        <w:rPr>
          <w:rFonts w:hint="eastAsia" w:ascii="宋体" w:hAnsi="宋体" w:cs="Times New Roman"/>
          <w:sz w:val="28"/>
          <w:szCs w:val="28"/>
          <w:highlight w:val="none"/>
        </w:rPr>
        <w:t>计量计价与</w:t>
      </w:r>
      <w:r>
        <w:rPr>
          <w:rFonts w:ascii="宋体" w:hAnsi="宋体" w:cs="Times New Roman"/>
          <w:sz w:val="28"/>
          <w:szCs w:val="28"/>
          <w:highlight w:val="none"/>
        </w:rPr>
        <w:t>竣工结算时，各</w:t>
      </w:r>
      <w:r>
        <w:rPr>
          <w:rFonts w:hint="eastAsia" w:ascii="宋体" w:hAnsi="宋体" w:cs="Times New Roman"/>
          <w:sz w:val="28"/>
          <w:szCs w:val="28"/>
          <w:highlight w:val="none"/>
        </w:rPr>
        <w:t>分部分项</w:t>
      </w:r>
      <w:r>
        <w:rPr>
          <w:rFonts w:ascii="宋体" w:hAnsi="宋体" w:cs="Times New Roman"/>
          <w:sz w:val="28"/>
          <w:szCs w:val="28"/>
          <w:highlight w:val="none"/>
        </w:rPr>
        <w:t>项目实际完成工程量与清单工程量比较，工程量变动幅度不论大小，</w:t>
      </w:r>
      <w:r>
        <w:rPr>
          <w:rFonts w:hint="eastAsia" w:ascii="宋体" w:hAnsi="宋体" w:cs="Times New Roman"/>
          <w:sz w:val="28"/>
          <w:szCs w:val="28"/>
          <w:highlight w:val="none"/>
        </w:rPr>
        <w:t>综合单价</w:t>
      </w:r>
      <w:r>
        <w:rPr>
          <w:rFonts w:ascii="宋体" w:hAnsi="宋体" w:cs="Times New Roman"/>
          <w:sz w:val="28"/>
          <w:szCs w:val="28"/>
          <w:highlight w:val="none"/>
        </w:rPr>
        <w:t>均</w:t>
      </w:r>
      <w:r>
        <w:rPr>
          <w:rFonts w:hint="eastAsia" w:ascii="宋体" w:hAnsi="宋体" w:cs="Times New Roman"/>
          <w:sz w:val="28"/>
          <w:szCs w:val="28"/>
          <w:highlight w:val="none"/>
        </w:rPr>
        <w:t>不作调整，统一按招标控制价清单单价结合中选取费比例按照合同约定办理</w:t>
      </w:r>
      <w:r>
        <w:rPr>
          <w:rFonts w:ascii="宋体" w:hAnsi="宋体" w:cs="Times New Roman"/>
          <w:sz w:val="28"/>
          <w:szCs w:val="28"/>
          <w:highlight w:val="none"/>
        </w:rPr>
        <w:t>。</w:t>
      </w:r>
    </w:p>
    <w:p w14:paraId="3B1E249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6.3.</w:t>
      </w:r>
      <w:r>
        <w:rPr>
          <w:rFonts w:hint="eastAsia" w:ascii="宋体" w:hAnsi="宋体" w:cs="Times New Roman"/>
          <w:sz w:val="28"/>
          <w:szCs w:val="28"/>
          <w:highlight w:val="none"/>
        </w:rPr>
        <w:t>6</w:t>
      </w:r>
      <w:r>
        <w:rPr>
          <w:rFonts w:ascii="宋体" w:hAnsi="宋体" w:cs="Times New Roman"/>
          <w:sz w:val="28"/>
          <w:szCs w:val="28"/>
          <w:highlight w:val="none"/>
        </w:rPr>
        <w:t xml:space="preserve"> 人工费的调整</w:t>
      </w:r>
      <w:r>
        <w:rPr>
          <w:rFonts w:hint="eastAsia" w:ascii="宋体" w:hAnsi="宋体" w:cs="Times New Roman"/>
          <w:sz w:val="28"/>
          <w:szCs w:val="28"/>
          <w:highlight w:val="none"/>
        </w:rPr>
        <w:t>：</w:t>
      </w:r>
    </w:p>
    <w:p w14:paraId="0297018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6.3.</w:t>
      </w:r>
      <w:r>
        <w:rPr>
          <w:rFonts w:hint="eastAsia" w:ascii="宋体" w:hAnsi="宋体" w:cs="Times New Roman"/>
          <w:sz w:val="28"/>
          <w:szCs w:val="28"/>
          <w:highlight w:val="none"/>
        </w:rPr>
        <w:t>6</w:t>
      </w:r>
      <w:r>
        <w:rPr>
          <w:rFonts w:ascii="宋体" w:hAnsi="宋体" w:cs="Times New Roman"/>
          <w:sz w:val="28"/>
          <w:szCs w:val="28"/>
          <w:highlight w:val="none"/>
        </w:rPr>
        <w:t xml:space="preserve">.1 </w:t>
      </w:r>
      <w:r>
        <w:rPr>
          <w:rFonts w:hint="eastAsia" w:ascii="宋体" w:hAnsi="宋体" w:cs="Times New Roman"/>
          <w:sz w:val="28"/>
          <w:szCs w:val="28"/>
          <w:highlight w:val="none"/>
        </w:rPr>
        <w:t>比选申请</w:t>
      </w:r>
      <w:r>
        <w:rPr>
          <w:rFonts w:ascii="宋体" w:hAnsi="宋体" w:cs="Times New Roman"/>
          <w:sz w:val="28"/>
          <w:szCs w:val="28"/>
          <w:highlight w:val="none"/>
        </w:rPr>
        <w:t xml:space="preserve">截止日后至本工程竣工期间，建设行政主管部门发布的人工费政策性调整文件，遵照执行。 </w:t>
      </w:r>
    </w:p>
    <w:p w14:paraId="43360FE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6.3.</w:t>
      </w:r>
      <w:r>
        <w:rPr>
          <w:rFonts w:hint="eastAsia" w:ascii="宋体" w:hAnsi="宋体" w:cs="Times New Roman"/>
          <w:sz w:val="28"/>
          <w:szCs w:val="28"/>
          <w:highlight w:val="none"/>
        </w:rPr>
        <w:t>7</w:t>
      </w:r>
      <w:r>
        <w:rPr>
          <w:rFonts w:ascii="宋体" w:hAnsi="宋体" w:cs="Times New Roman"/>
          <w:sz w:val="28"/>
          <w:szCs w:val="28"/>
          <w:highlight w:val="none"/>
        </w:rPr>
        <w:t xml:space="preserve"> 材料选用应满足设计及相关质量标准的要求，并必须得到甲方现场负责人的</w:t>
      </w:r>
      <w:r>
        <w:rPr>
          <w:rFonts w:hint="eastAsia" w:ascii="宋体" w:hAnsi="宋体" w:cs="Times New Roman"/>
          <w:sz w:val="28"/>
          <w:szCs w:val="28"/>
          <w:highlight w:val="none"/>
        </w:rPr>
        <w:t>验收</w:t>
      </w:r>
      <w:r>
        <w:rPr>
          <w:rFonts w:ascii="宋体" w:hAnsi="宋体" w:cs="Times New Roman"/>
          <w:sz w:val="28"/>
          <w:szCs w:val="28"/>
          <w:highlight w:val="none"/>
        </w:rPr>
        <w:t>认可。</w:t>
      </w:r>
    </w:p>
    <w:p w14:paraId="45211EF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6.3.</w:t>
      </w:r>
      <w:r>
        <w:rPr>
          <w:rFonts w:hint="eastAsia" w:ascii="宋体" w:hAnsi="宋体" w:cs="Times New Roman"/>
          <w:sz w:val="28"/>
          <w:szCs w:val="28"/>
          <w:highlight w:val="none"/>
        </w:rPr>
        <w:t>8</w:t>
      </w:r>
      <w:r>
        <w:rPr>
          <w:rFonts w:ascii="宋体" w:hAnsi="宋体" w:cs="Times New Roman"/>
          <w:sz w:val="28"/>
          <w:szCs w:val="28"/>
          <w:highlight w:val="none"/>
        </w:rPr>
        <w:t xml:space="preserve"> 甲方在《</w:t>
      </w:r>
      <w:r>
        <w:rPr>
          <w:rFonts w:hint="eastAsia" w:ascii="宋体" w:hAnsi="宋体" w:cs="Times New Roman"/>
          <w:sz w:val="28"/>
          <w:szCs w:val="28"/>
          <w:highlight w:val="none"/>
        </w:rPr>
        <w:t>招标控制价清单</w:t>
      </w:r>
      <w:r>
        <w:rPr>
          <w:rFonts w:ascii="宋体" w:hAnsi="宋体" w:cs="Times New Roman"/>
          <w:sz w:val="28"/>
          <w:szCs w:val="28"/>
          <w:highlight w:val="none"/>
        </w:rPr>
        <w:t>》中提供了暂估价的材料和专业工程属于按规定必须招标、</w:t>
      </w:r>
      <w:r>
        <w:rPr>
          <w:rFonts w:hint="eastAsia" w:ascii="宋体" w:hAnsi="宋体" w:cs="Times New Roman"/>
          <w:sz w:val="28"/>
          <w:szCs w:val="28"/>
          <w:highlight w:val="none"/>
        </w:rPr>
        <w:t>比选</w:t>
      </w:r>
      <w:r>
        <w:rPr>
          <w:rFonts w:ascii="宋体" w:hAnsi="宋体" w:cs="Times New Roman"/>
          <w:sz w:val="28"/>
          <w:szCs w:val="28"/>
          <w:highlight w:val="none"/>
        </w:rPr>
        <w:t>、谈判的，由乙方和甲方共同通过相应程序确定材料单价与专业工程分包价。</w:t>
      </w:r>
    </w:p>
    <w:p w14:paraId="3D63443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6.4 工程拨款与结算</w:t>
      </w:r>
    </w:p>
    <w:p w14:paraId="7AF0CC8D">
      <w:pPr>
        <w:spacing w:line="600" w:lineRule="exact"/>
        <w:ind w:firstLine="560" w:firstLineChars="200"/>
        <w:rPr>
          <w:rFonts w:hint="eastAsia" w:ascii="宋体" w:hAnsi="宋体" w:cs="Times New Roman"/>
          <w:sz w:val="28"/>
          <w:szCs w:val="28"/>
          <w:highlight w:val="none"/>
        </w:rPr>
      </w:pPr>
      <w:r>
        <w:rPr>
          <w:rFonts w:ascii="宋体" w:hAnsi="宋体" w:cs="Times New Roman"/>
          <w:sz w:val="28"/>
          <w:szCs w:val="28"/>
          <w:highlight w:val="none"/>
        </w:rPr>
        <w:t xml:space="preserve">6.4.1 </w:t>
      </w:r>
      <w:r>
        <w:rPr>
          <w:rFonts w:hint="eastAsia" w:ascii="宋体" w:hAnsi="宋体" w:cs="Times New Roman"/>
          <w:sz w:val="28"/>
          <w:szCs w:val="28"/>
          <w:highlight w:val="none"/>
        </w:rPr>
        <w:t>本项目进度款支付方式：</w:t>
      </w:r>
    </w:p>
    <w:p w14:paraId="1C0A5222">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6.4.1.1进度款支付节点：按月支付。乙方当月进度款支付申请在</w:t>
      </w:r>
      <w:r>
        <w:rPr>
          <w:rFonts w:hint="eastAsia" w:ascii="宋体" w:hAnsi="宋体" w:cs="Times New Roman"/>
          <w:sz w:val="28"/>
          <w:szCs w:val="28"/>
          <w:highlight w:val="none"/>
          <w:lang w:val="en-US" w:eastAsia="zh-CN"/>
        </w:rPr>
        <w:t>每月25日</w:t>
      </w:r>
      <w:r>
        <w:rPr>
          <w:rFonts w:hint="eastAsia" w:ascii="宋体" w:hAnsi="宋体" w:cs="Times New Roman"/>
          <w:sz w:val="28"/>
          <w:szCs w:val="28"/>
          <w:highlight w:val="none"/>
        </w:rPr>
        <w:t>上报至监理单位审核，监理单位</w:t>
      </w:r>
      <w:r>
        <w:rPr>
          <w:rFonts w:hint="eastAsia" w:ascii="宋体" w:hAnsi="宋体" w:cs="Times New Roman"/>
          <w:sz w:val="28"/>
          <w:szCs w:val="28"/>
          <w:highlight w:val="none"/>
          <w:lang w:val="en-US" w:eastAsia="zh-CN"/>
        </w:rPr>
        <w:t>7日内</w:t>
      </w:r>
      <w:r>
        <w:rPr>
          <w:rFonts w:hint="eastAsia" w:ascii="宋体" w:hAnsi="宋体" w:cs="Times New Roman"/>
          <w:sz w:val="28"/>
          <w:szCs w:val="28"/>
          <w:highlight w:val="none"/>
        </w:rPr>
        <w:t>审核完毕后报送至甲方审核，甲方在收到进度款支付申请后14日内完成审核工作。</w:t>
      </w:r>
    </w:p>
    <w:p w14:paraId="3BFCE71A">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监理</w:t>
      </w:r>
      <w:r>
        <w:rPr>
          <w:rFonts w:hint="eastAsia" w:ascii="宋体" w:hAnsi="宋体" w:cs="Times New Roman"/>
          <w:sz w:val="28"/>
          <w:szCs w:val="28"/>
          <w:highlight w:val="none"/>
          <w:lang w:val="en-US" w:eastAsia="zh-CN"/>
        </w:rPr>
        <w:t>单位或甲方未按约定时间</w:t>
      </w:r>
      <w:r>
        <w:rPr>
          <w:rFonts w:hint="eastAsia" w:ascii="宋体" w:hAnsi="宋体" w:cs="Times New Roman"/>
          <w:sz w:val="28"/>
          <w:szCs w:val="28"/>
          <w:highlight w:val="none"/>
        </w:rPr>
        <w:t>完成审核的，乙方报送的进度款支付申请中的工程量视为乙方实际完成的工程量，据此计算工程</w:t>
      </w:r>
      <w:r>
        <w:rPr>
          <w:rFonts w:hint="eastAsia" w:ascii="宋体" w:hAnsi="宋体" w:cs="Times New Roman"/>
          <w:sz w:val="28"/>
          <w:szCs w:val="28"/>
          <w:highlight w:val="none"/>
          <w:lang w:val="en-US" w:eastAsia="zh-CN"/>
        </w:rPr>
        <w:t>进度款</w:t>
      </w:r>
      <w:r>
        <w:rPr>
          <w:rFonts w:hint="eastAsia" w:ascii="宋体" w:hAnsi="宋体" w:cs="Times New Roman"/>
          <w:sz w:val="28"/>
          <w:szCs w:val="28"/>
          <w:highlight w:val="none"/>
        </w:rPr>
        <w:t>。</w:t>
      </w:r>
    </w:p>
    <w:p w14:paraId="10C6F978">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6.4.1.2</w:t>
      </w:r>
      <w:r>
        <w:rPr>
          <w:rFonts w:ascii="宋体" w:hAnsi="宋体" w:cs="Times New Roman"/>
          <w:sz w:val="28"/>
          <w:szCs w:val="28"/>
          <w:highlight w:val="none"/>
        </w:rPr>
        <w:t>经甲方</w:t>
      </w:r>
      <w:r>
        <w:rPr>
          <w:rFonts w:hint="eastAsia" w:ascii="宋体" w:hAnsi="宋体" w:cs="Times New Roman"/>
          <w:sz w:val="28"/>
          <w:szCs w:val="28"/>
          <w:highlight w:val="none"/>
        </w:rPr>
        <w:t>审核完成</w:t>
      </w:r>
      <w:r>
        <w:rPr>
          <w:rFonts w:ascii="宋体" w:hAnsi="宋体" w:cs="Times New Roman"/>
          <w:sz w:val="28"/>
          <w:szCs w:val="28"/>
          <w:highlight w:val="none"/>
        </w:rPr>
        <w:t>书面确认</w:t>
      </w:r>
      <w:r>
        <w:rPr>
          <w:rFonts w:hint="eastAsia" w:ascii="宋体" w:hAnsi="宋体" w:cs="Times New Roman"/>
          <w:sz w:val="28"/>
          <w:szCs w:val="28"/>
          <w:highlight w:val="none"/>
        </w:rPr>
        <w:t>并收到付款金额等</w:t>
      </w:r>
      <w:r>
        <w:rPr>
          <w:rFonts w:ascii="宋体" w:hAnsi="宋体" w:cs="Times New Roman"/>
          <w:sz w:val="28"/>
          <w:szCs w:val="28"/>
          <w:highlight w:val="none"/>
        </w:rPr>
        <w:t>额</w:t>
      </w:r>
      <w:r>
        <w:rPr>
          <w:rFonts w:hint="eastAsia" w:ascii="宋体" w:hAnsi="宋体" w:cs="Times New Roman"/>
          <w:sz w:val="28"/>
          <w:szCs w:val="28"/>
          <w:highlight w:val="none"/>
        </w:rPr>
        <w:t>的</w:t>
      </w:r>
      <w:r>
        <w:rPr>
          <w:rFonts w:ascii="宋体" w:hAnsi="宋体" w:cs="Times New Roman"/>
          <w:sz w:val="28"/>
          <w:szCs w:val="28"/>
          <w:highlight w:val="none"/>
        </w:rPr>
        <w:t>增值税</w:t>
      </w:r>
      <w:r>
        <w:rPr>
          <w:rFonts w:hint="eastAsia" w:ascii="宋体" w:hAnsi="宋体" w:cs="Times New Roman"/>
          <w:sz w:val="28"/>
          <w:szCs w:val="28"/>
          <w:highlight w:val="none"/>
          <w:lang w:val="en-US" w:eastAsia="zh-CN"/>
        </w:rPr>
        <w:t>专</w:t>
      </w:r>
      <w:r>
        <w:rPr>
          <w:rFonts w:ascii="宋体" w:hAnsi="宋体" w:cs="Times New Roman"/>
          <w:sz w:val="28"/>
          <w:szCs w:val="28"/>
          <w:highlight w:val="none"/>
        </w:rPr>
        <w:t xml:space="preserve">用发票后 </w:t>
      </w:r>
      <w:r>
        <w:rPr>
          <w:rFonts w:hint="eastAsia" w:ascii="宋体" w:hAnsi="宋体" w:cs="Times New Roman"/>
          <w:sz w:val="28"/>
          <w:szCs w:val="28"/>
          <w:highlight w:val="none"/>
          <w:lang w:val="en-US" w:eastAsia="zh-CN"/>
        </w:rPr>
        <w:t>10</w:t>
      </w:r>
      <w:r>
        <w:rPr>
          <w:rFonts w:ascii="宋体" w:hAnsi="宋体" w:cs="Times New Roman"/>
          <w:sz w:val="28"/>
          <w:szCs w:val="28"/>
          <w:highlight w:val="none"/>
        </w:rPr>
        <w:t>日内甲方</w:t>
      </w:r>
      <w:r>
        <w:rPr>
          <w:rFonts w:hint="eastAsia" w:ascii="宋体" w:hAnsi="宋体" w:cs="Times New Roman"/>
          <w:sz w:val="28"/>
          <w:szCs w:val="28"/>
          <w:highlight w:val="none"/>
        </w:rPr>
        <w:t>向乙方</w:t>
      </w:r>
      <w:r>
        <w:rPr>
          <w:rFonts w:ascii="宋体" w:hAnsi="宋体" w:cs="Times New Roman"/>
          <w:sz w:val="28"/>
          <w:szCs w:val="28"/>
          <w:highlight w:val="none"/>
        </w:rPr>
        <w:t>支付</w:t>
      </w:r>
      <w:r>
        <w:rPr>
          <w:rFonts w:hint="eastAsia" w:ascii="宋体" w:hAnsi="宋体" w:cs="Times New Roman"/>
          <w:sz w:val="28"/>
          <w:szCs w:val="28"/>
          <w:highlight w:val="none"/>
        </w:rPr>
        <w:t>至</w:t>
      </w:r>
      <w:r>
        <w:rPr>
          <w:rFonts w:hint="eastAsia" w:ascii="宋体" w:hAnsi="宋体" w:cs="Times New Roman"/>
          <w:sz w:val="28"/>
          <w:szCs w:val="28"/>
          <w:highlight w:val="none"/>
          <w:lang w:val="en-US" w:eastAsia="zh-CN"/>
        </w:rPr>
        <w:t>经甲方审核确认的</w:t>
      </w:r>
      <w:r>
        <w:rPr>
          <w:rFonts w:hint="eastAsia" w:ascii="宋体" w:hAnsi="宋体" w:cs="Times New Roman"/>
          <w:sz w:val="28"/>
          <w:szCs w:val="28"/>
          <w:highlight w:val="none"/>
        </w:rPr>
        <w:t>已完合格工程量的</w:t>
      </w:r>
      <w:r>
        <w:rPr>
          <w:rFonts w:hint="eastAsia" w:ascii="宋体" w:hAnsi="宋体" w:cs="Times New Roman"/>
          <w:sz w:val="28"/>
          <w:szCs w:val="28"/>
          <w:highlight w:val="none"/>
          <w:lang w:val="en-US" w:eastAsia="zh-CN"/>
        </w:rPr>
        <w:t>60</w:t>
      </w:r>
      <w:r>
        <w:rPr>
          <w:rFonts w:hint="eastAsia" w:ascii="宋体" w:hAnsi="宋体" w:cs="Times New Roman"/>
          <w:sz w:val="28"/>
          <w:szCs w:val="28"/>
          <w:highlight w:val="none"/>
        </w:rPr>
        <w:t>%</w:t>
      </w:r>
      <w:r>
        <w:rPr>
          <w:rFonts w:ascii="宋体" w:hAnsi="宋体" w:cs="Times New Roman"/>
          <w:sz w:val="28"/>
          <w:szCs w:val="28"/>
          <w:highlight w:val="none"/>
        </w:rPr>
        <w:t>。</w:t>
      </w:r>
    </w:p>
    <w:p w14:paraId="38370A8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6.4.1.3</w:t>
      </w:r>
      <w:r>
        <w:rPr>
          <w:rFonts w:hint="eastAsia" w:ascii="宋体" w:hAnsi="宋体" w:cs="Times New Roman"/>
          <w:sz w:val="28"/>
          <w:szCs w:val="28"/>
          <w:highlight w:val="none"/>
        </w:rPr>
        <w:t>乙方完成全部工程并通电，</w:t>
      </w:r>
      <w:r>
        <w:rPr>
          <w:rFonts w:ascii="宋体" w:hAnsi="宋体" w:cs="Times New Roman"/>
          <w:sz w:val="28"/>
          <w:szCs w:val="28"/>
          <w:highlight w:val="none"/>
        </w:rPr>
        <w:t>并经甲方</w:t>
      </w:r>
      <w:r>
        <w:rPr>
          <w:rFonts w:hint="eastAsia" w:ascii="宋体" w:hAnsi="宋体" w:cs="Times New Roman"/>
          <w:sz w:val="28"/>
          <w:szCs w:val="28"/>
          <w:highlight w:val="none"/>
        </w:rPr>
        <w:t>审核完成</w:t>
      </w:r>
      <w:r>
        <w:rPr>
          <w:rFonts w:ascii="宋体" w:hAnsi="宋体" w:cs="Times New Roman"/>
          <w:sz w:val="28"/>
          <w:szCs w:val="28"/>
          <w:highlight w:val="none"/>
        </w:rPr>
        <w:t xml:space="preserve">书面确认并收到付款金额等额的增值税专用发票后 </w:t>
      </w:r>
      <w:r>
        <w:rPr>
          <w:rFonts w:hint="eastAsia" w:ascii="宋体" w:hAnsi="宋体" w:cs="Times New Roman"/>
          <w:sz w:val="28"/>
          <w:szCs w:val="28"/>
          <w:highlight w:val="none"/>
          <w:lang w:val="en-US" w:eastAsia="zh-CN"/>
        </w:rPr>
        <w:t>10</w:t>
      </w:r>
      <w:r>
        <w:rPr>
          <w:rFonts w:ascii="宋体" w:hAnsi="宋体" w:cs="Times New Roman"/>
          <w:sz w:val="28"/>
          <w:szCs w:val="28"/>
          <w:highlight w:val="none"/>
        </w:rPr>
        <w:t xml:space="preserve"> 日内甲方向乙方支付至</w:t>
      </w:r>
      <w:r>
        <w:rPr>
          <w:rFonts w:hint="eastAsia" w:ascii="宋体" w:hAnsi="宋体" w:cs="Times New Roman"/>
          <w:sz w:val="28"/>
          <w:szCs w:val="28"/>
          <w:highlight w:val="none"/>
          <w:lang w:val="en-US" w:eastAsia="zh-CN"/>
        </w:rPr>
        <w:t>经甲方审核确认的</w:t>
      </w:r>
      <w:r>
        <w:rPr>
          <w:rFonts w:ascii="宋体" w:hAnsi="宋体" w:cs="Times New Roman"/>
          <w:sz w:val="28"/>
          <w:szCs w:val="28"/>
          <w:highlight w:val="none"/>
        </w:rPr>
        <w:t>已完合格工程量的</w:t>
      </w:r>
      <w:r>
        <w:rPr>
          <w:rFonts w:hint="eastAsia" w:ascii="宋体" w:hAnsi="宋体" w:cs="Times New Roman"/>
          <w:sz w:val="28"/>
          <w:szCs w:val="28"/>
          <w:highlight w:val="none"/>
        </w:rPr>
        <w:t>85</w:t>
      </w:r>
      <w:r>
        <w:rPr>
          <w:rFonts w:ascii="宋体" w:hAnsi="宋体" w:cs="Times New Roman"/>
          <w:sz w:val="28"/>
          <w:szCs w:val="28"/>
          <w:highlight w:val="none"/>
        </w:rPr>
        <w:t>%。</w:t>
      </w:r>
    </w:p>
    <w:p w14:paraId="7875600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6.4.1.</w:t>
      </w:r>
      <w:r>
        <w:rPr>
          <w:rFonts w:hint="eastAsia" w:ascii="宋体" w:hAnsi="宋体" w:cs="Times New Roman"/>
          <w:sz w:val="28"/>
          <w:szCs w:val="28"/>
          <w:highlight w:val="none"/>
        </w:rPr>
        <w:t>4</w:t>
      </w:r>
      <w:r>
        <w:rPr>
          <w:rFonts w:ascii="宋体" w:hAnsi="宋体" w:cs="Times New Roman"/>
          <w:sz w:val="28"/>
          <w:szCs w:val="28"/>
          <w:highlight w:val="none"/>
        </w:rPr>
        <w:t>乙方全部工程竣工验收合格并经甲方</w:t>
      </w:r>
      <w:r>
        <w:rPr>
          <w:rFonts w:hint="eastAsia" w:ascii="宋体" w:hAnsi="宋体" w:cs="Times New Roman"/>
          <w:sz w:val="28"/>
          <w:szCs w:val="28"/>
          <w:highlight w:val="none"/>
        </w:rPr>
        <w:t>审核完成</w:t>
      </w:r>
      <w:r>
        <w:rPr>
          <w:rFonts w:ascii="宋体" w:hAnsi="宋体" w:cs="Times New Roman"/>
          <w:sz w:val="28"/>
          <w:szCs w:val="28"/>
          <w:highlight w:val="none"/>
        </w:rPr>
        <w:t xml:space="preserve">书面确认并收到付款金额等额的增值税专用发票后 </w:t>
      </w:r>
      <w:r>
        <w:rPr>
          <w:rFonts w:hint="eastAsia" w:ascii="宋体" w:hAnsi="宋体" w:cs="Times New Roman"/>
          <w:sz w:val="28"/>
          <w:szCs w:val="28"/>
          <w:highlight w:val="none"/>
          <w:lang w:val="en-US" w:eastAsia="zh-CN"/>
        </w:rPr>
        <w:t>10</w:t>
      </w:r>
      <w:r>
        <w:rPr>
          <w:rFonts w:ascii="宋体" w:hAnsi="宋体" w:cs="Times New Roman"/>
          <w:sz w:val="28"/>
          <w:szCs w:val="28"/>
          <w:highlight w:val="none"/>
        </w:rPr>
        <w:t xml:space="preserve"> 日内甲方向乙方支付至</w:t>
      </w:r>
      <w:r>
        <w:rPr>
          <w:rFonts w:hint="eastAsia" w:ascii="宋体" w:hAnsi="宋体" w:cs="Times New Roman"/>
          <w:sz w:val="28"/>
          <w:szCs w:val="28"/>
          <w:highlight w:val="none"/>
          <w:lang w:val="en-US" w:eastAsia="zh-CN"/>
        </w:rPr>
        <w:t>经甲方审核确认的</w:t>
      </w:r>
      <w:r>
        <w:rPr>
          <w:rFonts w:ascii="宋体" w:hAnsi="宋体" w:cs="Times New Roman"/>
          <w:sz w:val="28"/>
          <w:szCs w:val="28"/>
          <w:highlight w:val="none"/>
        </w:rPr>
        <w:t>已完合格工程量的90%。</w:t>
      </w:r>
    </w:p>
    <w:p w14:paraId="72AACE2E">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6.4.2</w:t>
      </w:r>
      <w:r>
        <w:rPr>
          <w:rFonts w:ascii="宋体" w:hAnsi="宋体" w:cs="Times New Roman"/>
          <w:sz w:val="28"/>
          <w:szCs w:val="28"/>
          <w:highlight w:val="none"/>
        </w:rPr>
        <w:t>甲方在全部工程竣工验收合格并收到乙方完整、合格的工程竣工资料和结算资料后办理竣工结算。竣工结算经甲方</w:t>
      </w:r>
      <w:r>
        <w:rPr>
          <w:rFonts w:hint="eastAsia" w:ascii="宋体" w:hAnsi="宋体" w:cs="Times New Roman"/>
          <w:sz w:val="28"/>
          <w:szCs w:val="28"/>
          <w:highlight w:val="none"/>
          <w:lang w:val="en-US" w:eastAsia="zh-CN"/>
        </w:rPr>
        <w:t>审核并且经甲方</w:t>
      </w:r>
      <w:r>
        <w:rPr>
          <w:rFonts w:ascii="宋体" w:hAnsi="宋体" w:cs="Times New Roman"/>
          <w:sz w:val="28"/>
          <w:szCs w:val="28"/>
          <w:highlight w:val="none"/>
        </w:rPr>
        <w:t>委托的</w:t>
      </w:r>
      <w:r>
        <w:rPr>
          <w:rFonts w:hint="eastAsia" w:ascii="宋体" w:hAnsi="宋体" w:cs="Times New Roman"/>
          <w:sz w:val="28"/>
          <w:szCs w:val="28"/>
          <w:highlight w:val="none"/>
        </w:rPr>
        <w:t>造价咨询</w:t>
      </w:r>
      <w:r>
        <w:rPr>
          <w:rFonts w:ascii="宋体" w:hAnsi="宋体" w:cs="Times New Roman"/>
          <w:sz w:val="28"/>
          <w:szCs w:val="28"/>
          <w:highlight w:val="none"/>
        </w:rPr>
        <w:t>单位审定并出具审计报告后，扣除审定金额的</w:t>
      </w:r>
      <w:r>
        <w:rPr>
          <w:rFonts w:hint="eastAsia" w:ascii="宋体" w:hAnsi="宋体" w:cs="Times New Roman"/>
          <w:sz w:val="28"/>
          <w:szCs w:val="28"/>
          <w:highlight w:val="none"/>
        </w:rPr>
        <w:t>3</w:t>
      </w:r>
      <w:r>
        <w:rPr>
          <w:rFonts w:ascii="宋体" w:hAnsi="宋体" w:cs="Times New Roman"/>
          <w:sz w:val="28"/>
          <w:szCs w:val="28"/>
          <w:highlight w:val="none"/>
        </w:rPr>
        <w:t>%作为质量保</w:t>
      </w:r>
      <w:r>
        <w:rPr>
          <w:rFonts w:hint="eastAsia" w:ascii="宋体" w:hAnsi="宋体" w:cs="Times New Roman"/>
          <w:sz w:val="28"/>
          <w:szCs w:val="28"/>
          <w:highlight w:val="none"/>
        </w:rPr>
        <w:t>证金，余款在收到付款金额等额的增值税专用发票后 30 日内支付。</w:t>
      </w:r>
    </w:p>
    <w:p w14:paraId="7B294C25">
      <w:pPr>
        <w:spacing w:line="600" w:lineRule="exact"/>
        <w:ind w:firstLine="560" w:firstLineChars="200"/>
        <w:rPr>
          <w:rFonts w:hint="eastAsia" w:ascii="宋体" w:hAnsi="宋体" w:cs="Times New Roman"/>
          <w:sz w:val="28"/>
          <w:szCs w:val="28"/>
          <w:highlight w:val="none"/>
          <w:lang w:val="en-US" w:eastAsia="zh-CN"/>
        </w:rPr>
      </w:pPr>
      <w:r>
        <w:rPr>
          <w:rFonts w:hint="eastAsia" w:ascii="宋体" w:hAnsi="宋体" w:cs="Times New Roman"/>
          <w:sz w:val="28"/>
          <w:szCs w:val="28"/>
          <w:highlight w:val="none"/>
          <w:lang w:val="en-US" w:eastAsia="zh-CN"/>
        </w:rPr>
        <w:t>6.4.3 乙方认可并同意以甲方委托的造价咨询单位出具的审计报告作为甲乙双方结算价款。同时乙方认可并同意，如果本项目被政府审计单位抽中进行政府审计的，或者本项目需要进行政府审计的，则以政府审计最终审计价款作为甲乙双方最终结算价款。</w:t>
      </w:r>
    </w:p>
    <w:p w14:paraId="0A382372">
      <w:pPr>
        <w:spacing w:line="600" w:lineRule="exact"/>
        <w:ind w:firstLine="560" w:firstLineChars="200"/>
        <w:rPr>
          <w:rFonts w:hint="default" w:ascii="宋体" w:hAnsi="宋体" w:cs="Times New Roman"/>
          <w:sz w:val="28"/>
          <w:szCs w:val="28"/>
          <w:highlight w:val="none"/>
          <w:lang w:val="en-US" w:eastAsia="zh-CN"/>
        </w:rPr>
      </w:pPr>
      <w:r>
        <w:rPr>
          <w:rFonts w:hint="eastAsia" w:ascii="宋体" w:hAnsi="宋体" w:cs="Times New Roman"/>
          <w:sz w:val="28"/>
          <w:szCs w:val="28"/>
          <w:highlight w:val="none"/>
          <w:lang w:val="en-US" w:eastAsia="zh-CN"/>
        </w:rPr>
        <w:t xml:space="preserve">6.4.4 </w:t>
      </w:r>
      <w:r>
        <w:rPr>
          <w:rFonts w:hint="eastAsia" w:ascii="宋体" w:hAnsi="宋体" w:cs="Times New Roman"/>
          <w:sz w:val="28"/>
          <w:szCs w:val="28"/>
          <w:highlight w:val="none"/>
        </w:rPr>
        <w:t>甲方在收到乙方提交</w:t>
      </w:r>
      <w:r>
        <w:rPr>
          <w:rFonts w:ascii="宋体" w:hAnsi="宋体" w:cs="Times New Roman"/>
          <w:sz w:val="28"/>
          <w:szCs w:val="28"/>
          <w:highlight w:val="none"/>
        </w:rPr>
        <w:t>完整的</w:t>
      </w:r>
      <w:r>
        <w:rPr>
          <w:rFonts w:hint="eastAsia" w:ascii="宋体" w:hAnsi="宋体" w:cs="Times New Roman"/>
          <w:sz w:val="28"/>
          <w:szCs w:val="28"/>
          <w:highlight w:val="none"/>
          <w:lang w:val="en-US" w:eastAsia="zh-CN"/>
        </w:rPr>
        <w:t>付款申请单</w:t>
      </w:r>
      <w:r>
        <w:rPr>
          <w:rFonts w:hint="eastAsia" w:ascii="宋体" w:hAnsi="宋体" w:cs="Times New Roman"/>
          <w:sz w:val="28"/>
          <w:szCs w:val="28"/>
          <w:highlight w:val="none"/>
        </w:rPr>
        <w:t>后28天内未完成审批且未提出异议的，视为甲方认可乙方提交的竣工结算付款申请单，并自甲方收到乙方提交的竣工结算付款申请单后第29天起视为已签发竣工付款证书。</w:t>
      </w:r>
    </w:p>
    <w:p w14:paraId="162D2D1B">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6.5 预付款</w:t>
      </w:r>
    </w:p>
    <w:p w14:paraId="0D98AB88">
      <w:pPr>
        <w:spacing w:line="600" w:lineRule="exact"/>
        <w:ind w:firstLine="560" w:firstLineChars="200"/>
        <w:rPr>
          <w:rFonts w:hint="eastAsia" w:ascii="宋体" w:hAnsi="宋体" w:eastAsia="宋体" w:cs="Times New Roman"/>
          <w:sz w:val="28"/>
          <w:szCs w:val="28"/>
          <w:highlight w:val="none"/>
          <w:lang w:eastAsia="zh-CN"/>
        </w:rPr>
      </w:pPr>
      <w:r>
        <w:rPr>
          <w:rFonts w:hint="eastAsia" w:ascii="宋体" w:hAnsi="宋体" w:cs="Times New Roman"/>
          <w:sz w:val="28"/>
          <w:szCs w:val="28"/>
          <w:highlight w:val="none"/>
        </w:rPr>
        <w:t>6.5.1 开工预付款：</w:t>
      </w:r>
      <w:r>
        <w:rPr>
          <w:rFonts w:hint="eastAsia" w:ascii="宋体" w:hAnsi="宋体" w:cs="Times New Roman"/>
          <w:sz w:val="28"/>
          <w:szCs w:val="28"/>
          <w:highlight w:val="none"/>
          <w:lang w:val="en-US" w:eastAsia="zh-CN"/>
        </w:rPr>
        <w:t>无。</w:t>
      </w:r>
    </w:p>
    <w:p w14:paraId="133F8C07">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6.5.2 材料、设备预付款：甲方根据工程实际情况，可对已到场的电缆、箱式变压器等将被用于永久性工程的材料、设备支付预付款，预付款比例为不超过经验收合格的材料、设备单据所列费用的75%。</w:t>
      </w:r>
    </w:p>
    <w:p w14:paraId="08FE0EC4">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预付款的支付不应被视为对上述材料、设备的批准，申请材料、设备预付款的各种材料、设备总量应控制在建设项目需要的各种材料、设备总量范围内，且满足以下条件：</w:t>
      </w:r>
    </w:p>
    <w:p w14:paraId="0696AC87">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（1）材料、设备符合规范要求并经监理工程师或甲方代表认可；</w:t>
      </w:r>
    </w:p>
    <w:p w14:paraId="64E4EA0A">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（2）</w:t>
      </w:r>
      <w:r>
        <w:rPr>
          <w:rFonts w:hint="eastAsia" w:ascii="宋体" w:hAnsi="宋体" w:cs="Times New Roman"/>
          <w:sz w:val="28"/>
          <w:szCs w:val="28"/>
          <w:highlight w:val="none"/>
          <w:lang w:val="en-US" w:eastAsia="zh-CN"/>
        </w:rPr>
        <w:t>乙方</w:t>
      </w:r>
      <w:r>
        <w:rPr>
          <w:rFonts w:hint="eastAsia" w:ascii="宋体" w:hAnsi="宋体" w:cs="Times New Roman"/>
          <w:sz w:val="28"/>
          <w:szCs w:val="28"/>
          <w:highlight w:val="none"/>
        </w:rPr>
        <w:t>已出具材料、设备购买费用凭证或支付单据；</w:t>
      </w:r>
    </w:p>
    <w:p w14:paraId="24A675EC">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（3）材料、设备已在现场交货且存储良好，监理工程师或甲方认为材料、设备的存储方法符合要求；</w:t>
      </w:r>
    </w:p>
    <w:p w14:paraId="06DA0B36">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（4）在施工项目计量（含未扣回材料、设备预付款）累计达到</w:t>
      </w:r>
      <w:r>
        <w:rPr>
          <w:rFonts w:hint="eastAsia" w:ascii="宋体" w:hAnsi="宋体" w:cs="Times New Roman"/>
          <w:sz w:val="28"/>
          <w:szCs w:val="28"/>
          <w:highlight w:val="none"/>
          <w:lang w:val="en-US" w:eastAsia="zh-CN"/>
        </w:rPr>
        <w:t>暂定合同总</w:t>
      </w:r>
      <w:r>
        <w:rPr>
          <w:rFonts w:hint="eastAsia" w:ascii="宋体" w:hAnsi="宋体" w:cs="Times New Roman"/>
          <w:sz w:val="28"/>
          <w:szCs w:val="28"/>
          <w:highlight w:val="none"/>
        </w:rPr>
        <w:t>金额</w:t>
      </w:r>
      <w:r>
        <w:rPr>
          <w:rFonts w:hint="eastAsia" w:ascii="宋体" w:hAnsi="宋体" w:cs="Times New Roman"/>
          <w:sz w:val="28"/>
          <w:szCs w:val="28"/>
          <w:highlight w:val="none"/>
          <w:lang w:eastAsia="zh-CN"/>
        </w:rPr>
        <w:t>的</w:t>
      </w:r>
      <w:r>
        <w:rPr>
          <w:rFonts w:hint="eastAsia" w:ascii="宋体" w:hAnsi="宋体" w:cs="Times New Roman"/>
          <w:sz w:val="28"/>
          <w:szCs w:val="28"/>
          <w:highlight w:val="none"/>
        </w:rPr>
        <w:t>80%时，将不再支付材料、设备预付款。</w:t>
      </w:r>
    </w:p>
    <w:p w14:paraId="0AD3FBCF">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6.5.3 预付款保函</w:t>
      </w:r>
    </w:p>
    <w:p w14:paraId="34184370">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本项约定为：</w:t>
      </w:r>
    </w:p>
    <w:p w14:paraId="281A6906">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开工预付款保函：无</w:t>
      </w:r>
    </w:p>
    <w:p w14:paraId="50183239">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材料、设备预付款保函：无</w:t>
      </w:r>
    </w:p>
    <w:p w14:paraId="3A0865EB">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6.5.4 预付款的扣回和还清</w:t>
      </w:r>
    </w:p>
    <w:p w14:paraId="2356EF13">
      <w:pPr>
        <w:spacing w:line="600" w:lineRule="exact"/>
        <w:ind w:firstLine="560"/>
        <w:rPr>
          <w:rFonts w:hint="eastAsia" w:ascii="宋体" w:hAnsi="宋体" w:cs="Times New Roman"/>
          <w:sz w:val="28"/>
          <w:szCs w:val="28"/>
          <w:highlight w:val="none"/>
        </w:rPr>
      </w:pPr>
      <w:r>
        <w:rPr>
          <w:rFonts w:hint="eastAsia" w:ascii="宋体" w:hAnsi="宋体" w:cs="Times New Roman"/>
          <w:sz w:val="28"/>
          <w:szCs w:val="28"/>
          <w:highlight w:val="none"/>
        </w:rPr>
        <w:t>6.5.4.1 开工预付款的扣回：开工预付款在进度付款证书的累计金额未达到合同的30%之前不予扣回。在达到30%之后，开始按工程进度以一定比例分期从进度付款证书中扣回，全部金额在进度付款证书的累计金额达到合同价80%之前扣完。</w:t>
      </w:r>
    </w:p>
    <w:p w14:paraId="5FBF87F0">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6.5.4.2 材料、设备预付款：从支付材料、设备预付款当期的下期进度付款证书中扣回。</w:t>
      </w:r>
    </w:p>
    <w:p w14:paraId="4380D73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6</w:t>
      </w:r>
      <w:r>
        <w:rPr>
          <w:rFonts w:ascii="宋体" w:hAnsi="宋体" w:cs="Times New Roman"/>
          <w:sz w:val="28"/>
          <w:szCs w:val="28"/>
          <w:highlight w:val="none"/>
        </w:rPr>
        <w:t xml:space="preserve"> 竣工结算</w:t>
      </w:r>
    </w:p>
    <w:p w14:paraId="68C8650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6</w:t>
      </w:r>
      <w:r>
        <w:rPr>
          <w:rFonts w:ascii="宋体" w:hAnsi="宋体" w:cs="Times New Roman"/>
          <w:sz w:val="28"/>
          <w:szCs w:val="28"/>
          <w:highlight w:val="none"/>
        </w:rPr>
        <w:t>.1 结算内审：乙方应在自竣工验收合格之日起28个日历天内完成竣工结算资料的编制与送交。</w:t>
      </w:r>
    </w:p>
    <w:p w14:paraId="31967A5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6</w:t>
      </w:r>
      <w:r>
        <w:rPr>
          <w:rFonts w:ascii="宋体" w:hAnsi="宋体" w:cs="Times New Roman"/>
          <w:sz w:val="28"/>
          <w:szCs w:val="28"/>
          <w:highlight w:val="none"/>
        </w:rPr>
        <w:t>.1.1 乙方的送审</w:t>
      </w:r>
    </w:p>
    <w:p w14:paraId="60CEE14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6</w:t>
      </w:r>
      <w:r>
        <w:rPr>
          <w:rFonts w:ascii="宋体" w:hAnsi="宋体" w:cs="Times New Roman"/>
          <w:sz w:val="28"/>
          <w:szCs w:val="28"/>
          <w:highlight w:val="none"/>
        </w:rPr>
        <w:t xml:space="preserve">.1.1.1 </w:t>
      </w:r>
      <w:r>
        <w:rPr>
          <w:rFonts w:hint="eastAsia" w:ascii="宋体" w:hAnsi="宋体" w:cs="Times New Roman"/>
          <w:sz w:val="28"/>
          <w:szCs w:val="28"/>
          <w:highlight w:val="none"/>
          <w:lang w:val="en-US" w:eastAsia="zh-CN"/>
        </w:rPr>
        <w:t>因乙方原因，</w:t>
      </w:r>
      <w:r>
        <w:rPr>
          <w:rFonts w:ascii="宋体" w:hAnsi="宋体" w:cs="Times New Roman"/>
          <w:sz w:val="28"/>
          <w:szCs w:val="28"/>
          <w:highlight w:val="none"/>
        </w:rPr>
        <w:t>乙方未在规定时间内向甲方提交竣工结算付款申请单（含完整的工程竣工结算资料），甲方将按每延误一天向乙方扣减</w:t>
      </w:r>
      <w:r>
        <w:rPr>
          <w:rFonts w:hint="eastAsia" w:ascii="宋体" w:hAnsi="宋体" w:cs="Times New Roman"/>
          <w:sz w:val="28"/>
          <w:szCs w:val="28"/>
          <w:highlight w:val="none"/>
          <w:lang w:val="en-US" w:eastAsia="zh-CN"/>
        </w:rPr>
        <w:t>2</w:t>
      </w:r>
      <w:r>
        <w:rPr>
          <w:rFonts w:ascii="宋体" w:hAnsi="宋体" w:cs="Times New Roman"/>
          <w:sz w:val="28"/>
          <w:szCs w:val="28"/>
          <w:highlight w:val="none"/>
        </w:rPr>
        <w:t>000元违约金。如因乙方提交资料不完整，导致的往复时间计入送审规定时间。</w:t>
      </w:r>
    </w:p>
    <w:p w14:paraId="5413E8B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6</w:t>
      </w:r>
      <w:r>
        <w:rPr>
          <w:rFonts w:ascii="宋体" w:hAnsi="宋体" w:cs="Times New Roman"/>
          <w:sz w:val="28"/>
          <w:szCs w:val="28"/>
          <w:highlight w:val="none"/>
        </w:rPr>
        <w:t>.1.1.2 若出现合同非正常终止，</w:t>
      </w:r>
      <w:r>
        <w:rPr>
          <w:rFonts w:hint="eastAsia" w:ascii="宋体" w:hAnsi="宋体" w:cs="Times New Roman"/>
          <w:sz w:val="28"/>
          <w:szCs w:val="28"/>
          <w:highlight w:val="none"/>
          <w:lang w:val="en-US" w:eastAsia="zh-CN"/>
        </w:rPr>
        <w:t>因乙方原因，</w:t>
      </w:r>
      <w:r>
        <w:rPr>
          <w:rFonts w:ascii="宋体" w:hAnsi="宋体" w:cs="Times New Roman"/>
          <w:sz w:val="28"/>
          <w:szCs w:val="28"/>
          <w:highlight w:val="none"/>
        </w:rPr>
        <w:t>乙方在合同终止后60个日历天内未向甲方提交已完工程结算付款申请单（含完整的工程竣工结算资料），甲方将按每延误一天向乙方扣减</w:t>
      </w:r>
      <w:r>
        <w:rPr>
          <w:rFonts w:hint="eastAsia" w:ascii="宋体" w:hAnsi="宋体" w:cs="Times New Roman"/>
          <w:sz w:val="28"/>
          <w:szCs w:val="28"/>
          <w:highlight w:val="none"/>
          <w:lang w:val="en-US" w:eastAsia="zh-CN"/>
        </w:rPr>
        <w:t>2</w:t>
      </w:r>
      <w:r>
        <w:rPr>
          <w:rFonts w:ascii="宋体" w:hAnsi="宋体" w:cs="Times New Roman"/>
          <w:sz w:val="28"/>
          <w:szCs w:val="28"/>
          <w:highlight w:val="none"/>
        </w:rPr>
        <w:t>000元违约金。</w:t>
      </w:r>
    </w:p>
    <w:p w14:paraId="3F0B4C6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6</w:t>
      </w:r>
      <w:r>
        <w:rPr>
          <w:rFonts w:ascii="宋体" w:hAnsi="宋体" w:cs="Times New Roman"/>
          <w:sz w:val="28"/>
          <w:szCs w:val="28"/>
          <w:highlight w:val="none"/>
        </w:rPr>
        <w:t xml:space="preserve">.1.1.3 </w:t>
      </w:r>
      <w:r>
        <w:rPr>
          <w:rFonts w:hint="eastAsia" w:ascii="宋体" w:hAnsi="宋体" w:cs="Times New Roman"/>
          <w:sz w:val="28"/>
          <w:szCs w:val="28"/>
          <w:highlight w:val="none"/>
          <w:lang w:val="en-US" w:eastAsia="zh-CN"/>
        </w:rPr>
        <w:t>因乙方原因，</w:t>
      </w:r>
      <w:r>
        <w:rPr>
          <w:rFonts w:ascii="宋体" w:hAnsi="宋体" w:cs="Times New Roman"/>
          <w:sz w:val="28"/>
          <w:szCs w:val="28"/>
          <w:highlight w:val="none"/>
        </w:rPr>
        <w:t>乙方在工程竣工验收完成或在合同非正常终止60个日历天内未向甲方提交竣工结算付款申请单（含完整的工程竣工结算资料），经甲方催促后14天内仍未提供或没有明确答复，甲方有权根据已有资料单方面办理竣工结算，并视为乙方对竣工结算予以认可。</w:t>
      </w:r>
    </w:p>
    <w:p w14:paraId="31D6F3CA">
      <w:pPr>
        <w:spacing w:line="600" w:lineRule="exact"/>
        <w:ind w:firstLine="560" w:firstLineChars="200"/>
        <w:rPr>
          <w:rFonts w:ascii="宋体" w:hAnsi="宋体"/>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6</w:t>
      </w:r>
      <w:r>
        <w:rPr>
          <w:rFonts w:ascii="宋体" w:hAnsi="宋体" w:cs="Times New Roman"/>
          <w:sz w:val="28"/>
          <w:szCs w:val="28"/>
          <w:highlight w:val="none"/>
        </w:rPr>
        <w:t xml:space="preserve">.1.1.4 </w:t>
      </w:r>
      <w:r>
        <w:rPr>
          <w:rFonts w:ascii="宋体" w:hAnsi="宋体"/>
          <w:sz w:val="28"/>
          <w:szCs w:val="28"/>
          <w:highlight w:val="none"/>
        </w:rPr>
        <w:t>甲方可委托造价咨询单位对乙方所报竣工结算进行审核，并出具</w:t>
      </w:r>
      <w:r>
        <w:rPr>
          <w:rFonts w:hint="eastAsia" w:ascii="宋体" w:hAnsi="宋体"/>
          <w:sz w:val="28"/>
          <w:szCs w:val="28"/>
          <w:highlight w:val="none"/>
        </w:rPr>
        <w:t>经</w:t>
      </w:r>
      <w:r>
        <w:rPr>
          <w:rFonts w:ascii="宋体" w:hAnsi="宋体"/>
          <w:sz w:val="28"/>
          <w:szCs w:val="28"/>
          <w:highlight w:val="none"/>
        </w:rPr>
        <w:t>甲方确认的竣工结算审核报告。</w:t>
      </w:r>
    </w:p>
    <w:p w14:paraId="118F7F3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6</w:t>
      </w:r>
      <w:r>
        <w:rPr>
          <w:rFonts w:ascii="宋体" w:hAnsi="宋体" w:cs="Times New Roman"/>
          <w:sz w:val="28"/>
          <w:szCs w:val="28"/>
          <w:highlight w:val="none"/>
        </w:rPr>
        <w:t>.1.1.5 若乙方在</w:t>
      </w:r>
      <w:r>
        <w:rPr>
          <w:rFonts w:hint="eastAsia" w:ascii="宋体" w:hAnsi="宋体" w:cs="Times New Roman"/>
          <w:sz w:val="28"/>
          <w:szCs w:val="28"/>
          <w:highlight w:val="none"/>
        </w:rPr>
        <w:t>比选申请</w:t>
      </w:r>
      <w:r>
        <w:rPr>
          <w:rFonts w:ascii="宋体" w:hAnsi="宋体" w:cs="Times New Roman"/>
          <w:sz w:val="28"/>
          <w:szCs w:val="28"/>
          <w:highlight w:val="none"/>
        </w:rPr>
        <w:t>时对</w:t>
      </w:r>
      <w:r>
        <w:rPr>
          <w:rFonts w:hint="eastAsia" w:ascii="宋体" w:hAnsi="宋体" w:cs="Times New Roman"/>
          <w:sz w:val="28"/>
          <w:szCs w:val="28"/>
          <w:highlight w:val="none"/>
        </w:rPr>
        <w:t>比选文件</w:t>
      </w:r>
      <w:r>
        <w:rPr>
          <w:rFonts w:ascii="宋体" w:hAnsi="宋体" w:cs="Times New Roman"/>
          <w:sz w:val="28"/>
          <w:szCs w:val="28"/>
          <w:highlight w:val="none"/>
        </w:rPr>
        <w:t>规定不能修改的内容作过修改，但</w:t>
      </w:r>
      <w:r>
        <w:rPr>
          <w:rFonts w:hint="eastAsia" w:ascii="宋体" w:hAnsi="宋体" w:cs="Times New Roman"/>
          <w:sz w:val="28"/>
          <w:szCs w:val="28"/>
          <w:highlight w:val="none"/>
        </w:rPr>
        <w:t>评审</w:t>
      </w:r>
      <w:r>
        <w:rPr>
          <w:rFonts w:ascii="宋体" w:hAnsi="宋体" w:cs="Times New Roman"/>
          <w:sz w:val="28"/>
          <w:szCs w:val="28"/>
          <w:highlight w:val="none"/>
        </w:rPr>
        <w:t xml:space="preserve">时未被发现，则结算时甲方将按对乙方不利的解释执行。 </w:t>
      </w:r>
    </w:p>
    <w:p w14:paraId="3A23D88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6</w:t>
      </w:r>
      <w:r>
        <w:rPr>
          <w:rFonts w:ascii="宋体" w:hAnsi="宋体" w:cs="Times New Roman"/>
          <w:sz w:val="28"/>
          <w:szCs w:val="28"/>
          <w:highlight w:val="none"/>
        </w:rPr>
        <w:t>.1.1.6 由于国家政策原因，乙方承包工程完工时间超过2年，仍无法进行竣工验收，在乙方将工程移交给甲方后可参照本条进行完工结算。</w:t>
      </w:r>
    </w:p>
    <w:p w14:paraId="01B46C1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7</w:t>
      </w:r>
      <w:r>
        <w:rPr>
          <w:rFonts w:ascii="宋体" w:hAnsi="宋体" w:cs="Times New Roman"/>
          <w:sz w:val="28"/>
          <w:szCs w:val="28"/>
          <w:highlight w:val="none"/>
        </w:rPr>
        <w:t xml:space="preserve"> 物价波动引起的价格调整</w:t>
      </w:r>
    </w:p>
    <w:p w14:paraId="3EB1CF20">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不作调整。</w:t>
      </w:r>
    </w:p>
    <w:p w14:paraId="5D3AED7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8</w:t>
      </w:r>
      <w:r>
        <w:rPr>
          <w:rFonts w:ascii="宋体" w:hAnsi="宋体" w:cs="Times New Roman"/>
          <w:sz w:val="28"/>
          <w:szCs w:val="28"/>
          <w:highlight w:val="none"/>
        </w:rPr>
        <w:t xml:space="preserve"> 法规更改引起的价格调整</w:t>
      </w:r>
    </w:p>
    <w:p w14:paraId="195FAB1A">
      <w:pPr>
        <w:spacing w:line="600" w:lineRule="exact"/>
        <w:ind w:firstLine="560" w:firstLineChars="200"/>
        <w:rPr>
          <w:rFonts w:hint="default" w:ascii="宋体" w:hAnsi="宋体" w:eastAsia="宋体" w:cs="Times New Roman"/>
          <w:sz w:val="28"/>
          <w:szCs w:val="28"/>
          <w:highlight w:val="none"/>
          <w:lang w:val="en-US" w:eastAsia="zh-CN"/>
        </w:rPr>
      </w:pPr>
      <w:r>
        <w:rPr>
          <w:rFonts w:ascii="宋体" w:hAnsi="宋体" w:cs="Times New Roman"/>
          <w:sz w:val="28"/>
          <w:szCs w:val="28"/>
          <w:highlight w:val="none"/>
        </w:rPr>
        <w:t>在</w:t>
      </w:r>
      <w:r>
        <w:rPr>
          <w:rFonts w:hint="eastAsia" w:ascii="宋体" w:hAnsi="宋体" w:cs="Times New Roman"/>
          <w:sz w:val="28"/>
          <w:szCs w:val="28"/>
          <w:highlight w:val="none"/>
        </w:rPr>
        <w:t>比选申请</w:t>
      </w:r>
      <w:r>
        <w:rPr>
          <w:rFonts w:ascii="宋体" w:hAnsi="宋体" w:cs="Times New Roman"/>
          <w:sz w:val="28"/>
          <w:szCs w:val="28"/>
          <w:highlight w:val="none"/>
        </w:rPr>
        <w:t>截止日前的28天后，国家的法律、行政法规或国务院有关部门的规章和工程所在地的省、自治区、直辖市的</w:t>
      </w:r>
      <w:r>
        <w:rPr>
          <w:rFonts w:hint="eastAsia" w:ascii="宋体" w:hAnsi="宋体" w:cs="Times New Roman"/>
          <w:sz w:val="28"/>
          <w:szCs w:val="28"/>
          <w:highlight w:val="none"/>
        </w:rPr>
        <w:t>地方性法规</w:t>
      </w:r>
      <w:r>
        <w:rPr>
          <w:rFonts w:ascii="宋体" w:hAnsi="宋体" w:cs="Times New Roman"/>
          <w:sz w:val="28"/>
          <w:szCs w:val="28"/>
          <w:highlight w:val="none"/>
        </w:rPr>
        <w:t>和规章发生变更，导致乙方在实施合同期间所需要的工程费用发生增减时，应由甲方和乙方进行协商后确定需调整的合同金额。</w:t>
      </w:r>
      <w:r>
        <w:rPr>
          <w:rFonts w:hint="eastAsia" w:ascii="宋体" w:hAnsi="宋体" w:cs="Times New Roman"/>
          <w:sz w:val="28"/>
          <w:szCs w:val="28"/>
          <w:highlight w:val="none"/>
          <w:lang w:val="en-US" w:eastAsia="zh-CN"/>
        </w:rPr>
        <w:t>如经协商无法达成一致的，则按照较少金额方式执行。</w:t>
      </w:r>
    </w:p>
    <w:p w14:paraId="411927F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9</w:t>
      </w:r>
      <w:r>
        <w:rPr>
          <w:rFonts w:ascii="宋体" w:hAnsi="宋体" w:cs="Times New Roman"/>
          <w:sz w:val="28"/>
          <w:szCs w:val="28"/>
          <w:highlight w:val="none"/>
        </w:rPr>
        <w:t xml:space="preserve"> 其他约定</w:t>
      </w:r>
    </w:p>
    <w:p w14:paraId="3CCCE2B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9</w:t>
      </w:r>
      <w:r>
        <w:rPr>
          <w:rFonts w:ascii="宋体" w:hAnsi="宋体" w:cs="Times New Roman"/>
          <w:sz w:val="28"/>
          <w:szCs w:val="28"/>
          <w:highlight w:val="none"/>
        </w:rPr>
        <w:t>.1 工程的措施费应当按甲方的规定履行审批程序。</w:t>
      </w:r>
    </w:p>
    <w:p w14:paraId="452EBDE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9</w:t>
      </w:r>
      <w:r>
        <w:rPr>
          <w:rFonts w:ascii="宋体" w:hAnsi="宋体" w:cs="Times New Roman"/>
          <w:sz w:val="28"/>
          <w:szCs w:val="28"/>
          <w:highlight w:val="none"/>
        </w:rPr>
        <w:t>.2 在施工过程中发生阻工等事件，由甲乙双方共同协商解决，甲方仅承担施工现场的机械设备怠班费用和进出场费用，其他费用由乙方承担。</w:t>
      </w:r>
    </w:p>
    <w:p w14:paraId="34ED421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9</w:t>
      </w:r>
      <w:r>
        <w:rPr>
          <w:rFonts w:ascii="宋体" w:hAnsi="宋体" w:cs="Times New Roman"/>
          <w:sz w:val="28"/>
          <w:szCs w:val="28"/>
          <w:highlight w:val="none"/>
        </w:rPr>
        <w:t>.3 乙方必须拒绝未经甲方批准的超出施工图或</w:t>
      </w:r>
      <w:r>
        <w:rPr>
          <w:rFonts w:hint="eastAsia" w:ascii="宋体" w:hAnsi="宋体" w:cs="Times New Roman"/>
          <w:sz w:val="28"/>
          <w:szCs w:val="28"/>
          <w:highlight w:val="none"/>
        </w:rPr>
        <w:t>招标控制价清单</w:t>
      </w:r>
      <w:r>
        <w:rPr>
          <w:rFonts w:ascii="宋体" w:hAnsi="宋体" w:cs="Times New Roman"/>
          <w:sz w:val="28"/>
          <w:szCs w:val="28"/>
          <w:highlight w:val="none"/>
        </w:rPr>
        <w:t>外的增加工程（项目），否则，甲方将拒绝支付该增加工程（项目）的相应价款。</w:t>
      </w:r>
    </w:p>
    <w:p w14:paraId="46E07BF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 材料设备供应</w:t>
      </w:r>
    </w:p>
    <w:p w14:paraId="09F6058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7.1 甲方供应材料设备</w:t>
      </w:r>
    </w:p>
    <w:p w14:paraId="10E25F4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7.1.1 甲方</w:t>
      </w:r>
      <w:r>
        <w:rPr>
          <w:rFonts w:hint="eastAsia" w:ascii="宋体" w:hAnsi="宋体" w:cs="Times New Roman"/>
          <w:sz w:val="28"/>
          <w:szCs w:val="28"/>
          <w:highlight w:val="none"/>
        </w:rPr>
        <w:t>提供充电</w:t>
      </w:r>
      <w:r>
        <w:rPr>
          <w:rFonts w:ascii="宋体" w:hAnsi="宋体" w:cs="Times New Roman"/>
          <w:sz w:val="28"/>
          <w:szCs w:val="28"/>
          <w:highlight w:val="none"/>
        </w:rPr>
        <w:t>设备，并向乙方提供产品合格证明，对</w:t>
      </w:r>
      <w:r>
        <w:rPr>
          <w:rFonts w:hint="eastAsia" w:ascii="宋体" w:hAnsi="宋体" w:cs="Times New Roman"/>
          <w:sz w:val="28"/>
          <w:szCs w:val="28"/>
          <w:highlight w:val="none"/>
        </w:rPr>
        <w:t>充电设备</w:t>
      </w:r>
      <w:r>
        <w:rPr>
          <w:rFonts w:ascii="宋体" w:hAnsi="宋体" w:cs="Times New Roman"/>
          <w:sz w:val="28"/>
          <w:szCs w:val="28"/>
          <w:highlight w:val="none"/>
        </w:rPr>
        <w:t>的质量负责。</w:t>
      </w:r>
    </w:p>
    <w:p w14:paraId="08E0130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7.1.2 甲方提供的设备</w:t>
      </w:r>
      <w:r>
        <w:rPr>
          <w:rFonts w:hint="eastAsia" w:ascii="宋体" w:hAnsi="宋体" w:cs="Times New Roman"/>
          <w:sz w:val="28"/>
          <w:szCs w:val="28"/>
          <w:highlight w:val="none"/>
        </w:rPr>
        <w:t>、材料</w:t>
      </w:r>
      <w:r>
        <w:rPr>
          <w:rFonts w:ascii="宋体" w:hAnsi="宋体" w:cs="Times New Roman"/>
          <w:sz w:val="28"/>
          <w:szCs w:val="28"/>
          <w:highlight w:val="none"/>
        </w:rPr>
        <w:t>到货后24小时内，由甲方或甲方委托的监理单位与乙方共同清点，并由乙方负责</w:t>
      </w:r>
      <w:r>
        <w:rPr>
          <w:rFonts w:hint="eastAsia" w:ascii="宋体" w:hAnsi="宋体" w:cs="Times New Roman"/>
          <w:sz w:val="28"/>
          <w:szCs w:val="28"/>
          <w:highlight w:val="none"/>
        </w:rPr>
        <w:t>卸货安装</w:t>
      </w:r>
      <w:r>
        <w:rPr>
          <w:rFonts w:ascii="宋体" w:hAnsi="宋体" w:cs="Times New Roman"/>
          <w:sz w:val="28"/>
          <w:szCs w:val="28"/>
          <w:highlight w:val="none"/>
        </w:rPr>
        <w:t>保管。因乙方原因发生毁损、丢失，由乙方负责赔偿。</w:t>
      </w:r>
    </w:p>
    <w:p w14:paraId="5899448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7.1.3 甲方供应的设备与</w:t>
      </w:r>
      <w:r>
        <w:rPr>
          <w:rFonts w:hint="eastAsia" w:ascii="宋体" w:hAnsi="宋体" w:cs="Times New Roman"/>
          <w:sz w:val="28"/>
          <w:szCs w:val="28"/>
          <w:highlight w:val="none"/>
        </w:rPr>
        <w:t>施工图纸不符</w:t>
      </w:r>
      <w:r>
        <w:rPr>
          <w:rFonts w:ascii="宋体" w:hAnsi="宋体" w:cs="Times New Roman"/>
          <w:sz w:val="28"/>
          <w:szCs w:val="28"/>
          <w:highlight w:val="none"/>
        </w:rPr>
        <w:t>时，乙方应在使用前向甲方提出，甲方负责解决，造成工期延误的，乙方有权要求工期顺延</w:t>
      </w:r>
      <w:r>
        <w:rPr>
          <w:rFonts w:hint="eastAsia" w:ascii="宋体" w:hAnsi="宋体" w:cs="Times New Roman"/>
          <w:sz w:val="28"/>
          <w:szCs w:val="28"/>
          <w:highlight w:val="none"/>
        </w:rPr>
        <w:t>，并遵守5.2.1的约定</w:t>
      </w:r>
      <w:r>
        <w:rPr>
          <w:rFonts w:ascii="宋体" w:hAnsi="宋体" w:cs="Times New Roman"/>
          <w:sz w:val="28"/>
          <w:szCs w:val="28"/>
          <w:highlight w:val="none"/>
        </w:rPr>
        <w:t>。</w:t>
      </w:r>
    </w:p>
    <w:p w14:paraId="69AF0EB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7.1.4 甲方供应的设备使用前，由乙方负责检验或试验的，检验或试验费用由甲方承担。</w:t>
      </w:r>
    </w:p>
    <w:p w14:paraId="09F7EBE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7.2 乙方采购材料设备</w:t>
      </w:r>
    </w:p>
    <w:p w14:paraId="4EE7ECE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7.2.1 除合同另有规定外，为完成本合同各项工作所需的材料和按合同规定由乙方提供的工程设备，均由乙方负责采购、验收、运输和保管。</w:t>
      </w:r>
    </w:p>
    <w:p w14:paraId="7B9B27D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7.2.</w:t>
      </w:r>
      <w:r>
        <w:rPr>
          <w:rFonts w:hint="eastAsia" w:ascii="宋体" w:hAnsi="宋体" w:cs="Times New Roman"/>
          <w:sz w:val="28"/>
          <w:szCs w:val="28"/>
          <w:highlight w:val="none"/>
        </w:rPr>
        <w:t>2</w:t>
      </w:r>
      <w:r>
        <w:rPr>
          <w:rFonts w:ascii="宋体" w:hAnsi="宋体" w:cs="Times New Roman"/>
          <w:sz w:val="28"/>
          <w:szCs w:val="28"/>
          <w:highlight w:val="none"/>
        </w:rPr>
        <w:t xml:space="preserve"> 乙方采购材料设备，应按图纸要求和国家相关标准采购，并要求“三证齐全”，对材料设备质量负责。</w:t>
      </w:r>
    </w:p>
    <w:p w14:paraId="6F97006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7.2.</w:t>
      </w:r>
      <w:r>
        <w:rPr>
          <w:rFonts w:hint="eastAsia" w:ascii="宋体" w:hAnsi="宋体" w:cs="Times New Roman"/>
          <w:sz w:val="28"/>
          <w:szCs w:val="28"/>
          <w:highlight w:val="none"/>
        </w:rPr>
        <w:t>3</w:t>
      </w:r>
      <w:r>
        <w:rPr>
          <w:rFonts w:ascii="宋体" w:hAnsi="宋体" w:cs="Times New Roman"/>
          <w:sz w:val="28"/>
          <w:szCs w:val="28"/>
          <w:highlight w:val="none"/>
        </w:rPr>
        <w:t xml:space="preserve"> 乙方采购的材料设备与图纸或质量标准要求不符时，乙方应按甲方要求的时间运出施工场地，重新采购符合要求的产品，并承担由此发生的一切费用，因此延误的工期不予顺延。</w:t>
      </w:r>
    </w:p>
    <w:p w14:paraId="14F1D29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7.3 乙方材料和工程设备的管理</w:t>
      </w:r>
    </w:p>
    <w:p w14:paraId="03D1004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7.3.1 乙方设备应及时进入工地</w:t>
      </w:r>
    </w:p>
    <w:p w14:paraId="09887A2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合同规定的乙方设备应按合同进度计划进入工地，并需经甲方确认核查合格后投入使用，若乙方需更换合同规定的乙方设备时，须经甲方</w:t>
      </w:r>
      <w:r>
        <w:rPr>
          <w:rFonts w:hint="eastAsia" w:ascii="宋体" w:hAnsi="宋体" w:cs="Times New Roman"/>
          <w:sz w:val="28"/>
          <w:szCs w:val="28"/>
          <w:highlight w:val="none"/>
        </w:rPr>
        <w:t>书面</w:t>
      </w:r>
      <w:r>
        <w:rPr>
          <w:rFonts w:ascii="宋体" w:hAnsi="宋体" w:cs="Times New Roman"/>
          <w:sz w:val="28"/>
          <w:szCs w:val="28"/>
          <w:highlight w:val="none"/>
        </w:rPr>
        <w:t>批准。</w:t>
      </w:r>
    </w:p>
    <w:p w14:paraId="7788181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7.3.2 乙方的材料和设备专用于本合同工程</w:t>
      </w:r>
    </w:p>
    <w:p w14:paraId="1EC42EE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乙方运入工地的所有材料和设备应专用于本合同工程。</w:t>
      </w:r>
    </w:p>
    <w:p w14:paraId="5E5F951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乙方除在工地内转移这些材料和设备外，未经甲方书面同意，不得将上述材料和设备中的任何部分运出工地。但乙方从事运送的人员和外出接运货物的车辆不要求办理甲方书面同意的手续。</w:t>
      </w:r>
    </w:p>
    <w:p w14:paraId="13A563F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乙方在征得甲方书面同意后，可以按不同施工阶段的计划撤走其属于自己的闲置设备。</w:t>
      </w:r>
    </w:p>
    <w:p w14:paraId="3E9BAD9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7.4 材料和工程设备的检查和检验</w:t>
      </w:r>
    </w:p>
    <w:p w14:paraId="0AD00C0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7.4.1 材料和工程设备的检验和交货验收</w:t>
      </w:r>
    </w:p>
    <w:p w14:paraId="5D9DA41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乙方负责采购的材料和工程设备，乙方应通知甲方</w:t>
      </w:r>
      <w:r>
        <w:rPr>
          <w:rFonts w:hint="eastAsia" w:ascii="宋体" w:hAnsi="宋体" w:cs="Times New Roman"/>
          <w:sz w:val="28"/>
          <w:szCs w:val="28"/>
          <w:highlight w:val="none"/>
        </w:rPr>
        <w:t>及监理单位</w:t>
      </w:r>
      <w:r>
        <w:rPr>
          <w:rFonts w:ascii="宋体" w:hAnsi="宋体" w:cs="Times New Roman"/>
          <w:sz w:val="28"/>
          <w:szCs w:val="28"/>
          <w:highlight w:val="none"/>
        </w:rPr>
        <w:t>共同进行检验和交货验收，验收时应同时查验材质证明和产品合格证书。乙方还应按国家规范的规定进行材料的抽样检验和工程设备的检验测试，并将检验结果提交甲方，其所需费用由乙方承担。甲方应按合同规定参加交货验收，乙方应为甲方进行交货验收的监督检查提供一切方便。甲方参加交货验收不免除乙方在检验和交货验收中应负的责任。</w:t>
      </w:r>
    </w:p>
    <w:p w14:paraId="0885B94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甲方负责采购的工程设备，应由甲方和乙方</w:t>
      </w:r>
      <w:r>
        <w:rPr>
          <w:rFonts w:hint="eastAsia" w:ascii="宋体" w:hAnsi="宋体" w:cs="Times New Roman"/>
          <w:sz w:val="28"/>
          <w:szCs w:val="28"/>
          <w:highlight w:val="none"/>
        </w:rPr>
        <w:t>及监理单位</w:t>
      </w:r>
      <w:r>
        <w:rPr>
          <w:rFonts w:ascii="宋体" w:hAnsi="宋体" w:cs="Times New Roman"/>
          <w:sz w:val="28"/>
          <w:szCs w:val="28"/>
          <w:highlight w:val="none"/>
        </w:rPr>
        <w:t>在甲方指定的交货地点共同进行交货验收，并由甲方正式移交给乙方。在验收时，乙方应按甲方指示进行工程设备的检验测试，并将检验结果提交甲方。工程设备安装后，若发现工程设备存在缺陷时，应由甲方与乙方共同查找原因，如属设备制造不良引起的缺陷</w:t>
      </w:r>
      <w:r>
        <w:rPr>
          <w:rFonts w:hint="eastAsia" w:ascii="宋体" w:hAnsi="宋体" w:cs="Times New Roman"/>
          <w:sz w:val="28"/>
          <w:szCs w:val="28"/>
          <w:highlight w:val="none"/>
        </w:rPr>
        <w:t>可向供货方要求承担责任</w:t>
      </w:r>
      <w:r>
        <w:rPr>
          <w:rFonts w:ascii="宋体" w:hAnsi="宋体" w:cs="Times New Roman"/>
          <w:sz w:val="28"/>
          <w:szCs w:val="28"/>
          <w:highlight w:val="none"/>
        </w:rPr>
        <w:t>；如属乙方运输和保管不慎或安装不良引起的损坏应由乙方负责。</w:t>
      </w:r>
    </w:p>
    <w:p w14:paraId="0ACC620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7.4.2 未按规定进行检查和检验</w:t>
      </w:r>
    </w:p>
    <w:p w14:paraId="48B7097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乙方未按国家规范和合同规定对材料和工程设备进行检查和检验，甲方有权指示乙方补作检查和检验，乙方应遵照执行，并应承担所需的检查和检验费用</w:t>
      </w:r>
      <w:r>
        <w:rPr>
          <w:rFonts w:hint="eastAsia" w:ascii="宋体" w:hAnsi="宋体" w:cs="Times New Roman"/>
          <w:sz w:val="28"/>
          <w:szCs w:val="28"/>
          <w:highlight w:val="none"/>
        </w:rPr>
        <w:t>、</w:t>
      </w:r>
      <w:r>
        <w:rPr>
          <w:rFonts w:ascii="宋体" w:hAnsi="宋体" w:cs="Times New Roman"/>
          <w:sz w:val="28"/>
          <w:szCs w:val="28"/>
          <w:highlight w:val="none"/>
        </w:rPr>
        <w:t>工期延误责任</w:t>
      </w:r>
      <w:r>
        <w:rPr>
          <w:rFonts w:hint="eastAsia" w:ascii="宋体" w:hAnsi="宋体" w:cs="Times New Roman"/>
          <w:sz w:val="28"/>
          <w:szCs w:val="28"/>
          <w:highlight w:val="none"/>
        </w:rPr>
        <w:t>以及</w:t>
      </w:r>
      <w:r>
        <w:rPr>
          <w:rFonts w:hint="eastAsia" w:ascii="宋体" w:hAnsi="宋体" w:cs="Times New Roman"/>
          <w:sz w:val="28"/>
          <w:szCs w:val="28"/>
          <w:highlight w:val="none"/>
          <w:lang w:val="en-US" w:eastAsia="zh-CN"/>
        </w:rPr>
        <w:t>乙方采购的</w:t>
      </w:r>
      <w:r>
        <w:rPr>
          <w:rFonts w:hint="eastAsia" w:ascii="宋体" w:hAnsi="宋体" w:cs="Times New Roman"/>
          <w:sz w:val="28"/>
          <w:szCs w:val="28"/>
          <w:highlight w:val="none"/>
        </w:rPr>
        <w:t>设备材料质量问题或不符合约定引起的</w:t>
      </w:r>
      <w:r>
        <w:rPr>
          <w:rFonts w:hint="eastAsia" w:ascii="宋体" w:hAnsi="宋体" w:cs="Times New Roman"/>
          <w:sz w:val="28"/>
          <w:szCs w:val="28"/>
          <w:highlight w:val="none"/>
          <w:lang w:val="en-US" w:eastAsia="zh-CN"/>
        </w:rPr>
        <w:t>相应</w:t>
      </w:r>
      <w:r>
        <w:rPr>
          <w:rFonts w:hint="eastAsia" w:ascii="宋体" w:hAnsi="宋体" w:cs="Times New Roman"/>
          <w:sz w:val="28"/>
          <w:szCs w:val="28"/>
          <w:highlight w:val="none"/>
        </w:rPr>
        <w:t>损失</w:t>
      </w:r>
      <w:r>
        <w:rPr>
          <w:rFonts w:ascii="宋体" w:hAnsi="宋体" w:cs="Times New Roman"/>
          <w:sz w:val="28"/>
          <w:szCs w:val="28"/>
          <w:highlight w:val="none"/>
        </w:rPr>
        <w:t>。</w:t>
      </w:r>
    </w:p>
    <w:p w14:paraId="5962797D">
      <w:pPr>
        <w:spacing w:line="600" w:lineRule="exact"/>
        <w:ind w:firstLine="560" w:firstLineChars="200"/>
        <w:rPr>
          <w:rFonts w:hint="eastAsia" w:ascii="宋体" w:hAnsi="宋体" w:cs="Times New Roman"/>
          <w:sz w:val="28"/>
          <w:szCs w:val="28"/>
          <w:highlight w:val="none"/>
        </w:rPr>
      </w:pPr>
      <w:r>
        <w:rPr>
          <w:rFonts w:ascii="宋体" w:hAnsi="宋体" w:cs="Times New Roman"/>
          <w:sz w:val="28"/>
          <w:szCs w:val="28"/>
          <w:highlight w:val="none"/>
        </w:rPr>
        <w:t>7.4.3 不合格的材料和工程设备</w:t>
      </w:r>
      <w:r>
        <w:rPr>
          <w:rFonts w:hint="eastAsia" w:ascii="宋体" w:hAnsi="宋体" w:cs="Times New Roman"/>
          <w:sz w:val="28"/>
          <w:szCs w:val="28"/>
          <w:highlight w:val="none"/>
        </w:rPr>
        <w:t xml:space="preserve"> </w:t>
      </w:r>
    </w:p>
    <w:p w14:paraId="68D716E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乙方使用了不合格的材料或工程设备，甲方有权按第7.5.2款规定指示乙方予以处理，由此造成的损失由乙方负责。</w:t>
      </w:r>
    </w:p>
    <w:p w14:paraId="232F155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甲方的检查或检验结果表明乙方提供的材料或工程设备不符合合同要求时，甲方可以拒绝验收，并立即通知乙方，乙方除应立即停止使用外，还应与甲方共同研究补救措施，由此增加的费用和工期延误责任由乙方承担。</w:t>
      </w:r>
    </w:p>
    <w:p w14:paraId="77C48CD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若按第7.4.1款(2)项规定的检查或检验结果表明，甲方提供的工程设备不符合合同要求，乙方有权拒绝接收，并可要求甲方予以更换</w:t>
      </w:r>
      <w:r>
        <w:rPr>
          <w:rFonts w:hint="eastAsia" w:ascii="宋体" w:hAnsi="宋体" w:cs="Times New Roman"/>
          <w:sz w:val="28"/>
          <w:szCs w:val="28"/>
          <w:highlight w:val="none"/>
          <w:lang w:eastAsia="zh-CN"/>
        </w:rPr>
        <w:t>，</w:t>
      </w:r>
      <w:r>
        <w:rPr>
          <w:rFonts w:hint="eastAsia" w:ascii="宋体" w:hAnsi="宋体" w:cs="Times New Roman"/>
          <w:sz w:val="28"/>
          <w:szCs w:val="28"/>
          <w:highlight w:val="none"/>
        </w:rPr>
        <w:t>由此增加的费用和（或）延误的工期，由甲方承担</w:t>
      </w:r>
      <w:r>
        <w:rPr>
          <w:rFonts w:ascii="宋体" w:hAnsi="宋体" w:cs="Times New Roman"/>
          <w:sz w:val="28"/>
          <w:szCs w:val="28"/>
          <w:highlight w:val="none"/>
        </w:rPr>
        <w:t>。</w:t>
      </w:r>
    </w:p>
    <w:p w14:paraId="462FF52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7.4.4 额外检验和重新检验</w:t>
      </w:r>
    </w:p>
    <w:p w14:paraId="4F16A01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若甲方要求乙方对某项材料和工程设备进行的检查和检验超出国家规范和本合同的规定，甲方可以指示乙方增加额外检验，乙方应遵照执行</w:t>
      </w:r>
      <w:r>
        <w:rPr>
          <w:rFonts w:hint="eastAsia" w:ascii="宋体" w:hAnsi="宋体" w:cs="Times New Roman"/>
          <w:sz w:val="28"/>
          <w:szCs w:val="28"/>
          <w:highlight w:val="none"/>
        </w:rPr>
        <w:t>，额外检验的费用由甲方承担</w:t>
      </w:r>
      <w:r>
        <w:rPr>
          <w:rFonts w:ascii="宋体" w:hAnsi="宋体" w:cs="Times New Roman"/>
          <w:sz w:val="28"/>
          <w:szCs w:val="28"/>
          <w:highlight w:val="none"/>
        </w:rPr>
        <w:t>。</w:t>
      </w:r>
    </w:p>
    <w:p w14:paraId="547F742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不论何种原因，若甲方对以往的检验结果有疑问时，可以指示乙方重新检验，乙方不得拒绝。若重新检验结果证明</w:t>
      </w:r>
      <w:r>
        <w:rPr>
          <w:rFonts w:hint="eastAsia" w:ascii="宋体" w:hAnsi="宋体" w:cs="Times New Roman"/>
          <w:sz w:val="28"/>
          <w:szCs w:val="28"/>
          <w:highlight w:val="none"/>
          <w:lang w:val="en-US" w:eastAsia="zh-CN"/>
        </w:rPr>
        <w:t>乙方采购的</w:t>
      </w:r>
      <w:r>
        <w:rPr>
          <w:rFonts w:ascii="宋体" w:hAnsi="宋体" w:cs="Times New Roman"/>
          <w:sz w:val="28"/>
          <w:szCs w:val="28"/>
          <w:highlight w:val="none"/>
        </w:rPr>
        <w:t>材料和工程设备不符合合同要求，则应由乙方承担重新检验的费用和工期延误责任；若重新检验结果证明这些材料和工程设备符合合同要求，则应由甲方承担重新检验的费用和工期延误责任。</w:t>
      </w:r>
    </w:p>
    <w:p w14:paraId="6F63616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7.5 不合格的工程、材料和工程设备的处理</w:t>
      </w:r>
    </w:p>
    <w:p w14:paraId="7A74266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7.5.1 禁止使用不合格的材料和工程设备</w:t>
      </w:r>
    </w:p>
    <w:p w14:paraId="4B7CCD1C">
      <w:pPr>
        <w:widowControl/>
        <w:spacing w:line="600" w:lineRule="exact"/>
        <w:ind w:firstLine="560" w:firstLineChars="200"/>
        <w:jc w:val="left"/>
        <w:rPr>
          <w:rFonts w:ascii="宋体" w:hAnsi="宋体" w:cs="Times New Roman"/>
          <w:sz w:val="28"/>
          <w:szCs w:val="28"/>
          <w:highlight w:val="none"/>
        </w:rPr>
      </w:pPr>
      <w:r>
        <w:rPr>
          <w:rFonts w:ascii="宋体" w:hAnsi="宋体" w:cs="Times New Roman"/>
          <w:sz w:val="28"/>
          <w:szCs w:val="28"/>
          <w:highlight w:val="none"/>
        </w:rPr>
        <w:t>工程使用的一切材料和工程设备，均应满足施工图纸规定的等级、质量标准和技术特征。其中乙方供应的</w:t>
      </w:r>
      <w:r>
        <w:rPr>
          <w:rFonts w:hint="eastAsia" w:ascii="宋体" w:hAnsi="宋体" w:cs="Times New Roman"/>
          <w:sz w:val="28"/>
          <w:szCs w:val="28"/>
          <w:highlight w:val="none"/>
        </w:rPr>
        <w:t>电</w:t>
      </w:r>
      <w:r>
        <w:rPr>
          <w:rFonts w:hint="eastAsia" w:ascii="宋体" w:hAnsi="宋体" w:cs="Times New Roman"/>
          <w:sz w:val="28"/>
          <w:szCs w:val="28"/>
          <w:highlight w:val="none"/>
          <w:lang w:bidi="ar"/>
        </w:rPr>
        <w:t>缆必须符合国家相应的技术指标，</w:t>
      </w:r>
      <w:r>
        <w:rPr>
          <w:rFonts w:ascii="宋体" w:hAnsi="宋体" w:cs="Times New Roman"/>
          <w:sz w:val="28"/>
          <w:szCs w:val="28"/>
          <w:highlight w:val="none"/>
        </w:rPr>
        <w:t>须具有“中国强制性产品认证”即“CCC证明”和完整的出厂检测合格报告、出厂检测合格证</w:t>
      </w:r>
      <w:r>
        <w:rPr>
          <w:rFonts w:hint="eastAsia" w:ascii="宋体" w:hAnsi="宋体" w:cs="Times New Roman"/>
          <w:sz w:val="28"/>
          <w:szCs w:val="28"/>
          <w:highlight w:val="none"/>
        </w:rPr>
        <w:t>和产品质量证书等</w:t>
      </w:r>
      <w:r>
        <w:rPr>
          <w:rFonts w:ascii="宋体" w:hAnsi="宋体" w:cs="Times New Roman"/>
          <w:sz w:val="28"/>
          <w:szCs w:val="28"/>
          <w:highlight w:val="none"/>
        </w:rPr>
        <w:t>。甲方在工程质量的检查和检验中发现乙方使用了不合格的材料和工程设备时，可以随时发出指示，要求乙方立即改正，并禁止在工程中继续使用这些不合格的材料和工程设备。</w:t>
      </w:r>
    </w:p>
    <w:p w14:paraId="155C3CB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7.5.2 不合格的工程、材料和工程设备的处理</w:t>
      </w:r>
    </w:p>
    <w:p w14:paraId="056781C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由于乙方使用了不合格材料和工程设备造成了损害，甲方可以随时发出指示，要求乙方立即采取措施进行补救，直至彻底清除工程的不合格部位以及不合格的材料或工程设备，由此增加的费用和工期延误责任由乙方承担，若上述不合格的材料或工程设备系由甲方提供的，应由甲方负责更换，并承担由此增加的费用和工期延误责任。</w:t>
      </w:r>
    </w:p>
    <w:p w14:paraId="667A4B7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若乙方无故拖延或拒绝执行甲方的上述指示，则甲方有权委托其他单位执行该项指示，由此增加的费用以及工期延误责任，由乙方承担。</w:t>
      </w:r>
    </w:p>
    <w:p w14:paraId="2DEFAA4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7.6 乙方旧施工设备的管理</w:t>
      </w:r>
    </w:p>
    <w:p w14:paraId="56F606C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的旧施工设备进入工地前必须按有关规定进行年检和定期检修，并应由具有设备检定资格的机构出具检修合格证或经甲方检查后才准进入工地。乙方还应在旧施工设备进入工地前提交主要设备的使用和检修记录，并应配置足够的备品备件以保证旧施工设备的正常运行。</w:t>
      </w:r>
    </w:p>
    <w:p w14:paraId="7DF97B6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7.7 乙方租用的施工设备</w:t>
      </w:r>
    </w:p>
    <w:p w14:paraId="3869678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乙方从其它人处租赁施工设备时，则应在签订的租赁协议中明确规定若在协议有效期内发生乙方违约而解除合同时，甲方或甲方邀请承包本合同的其它</w:t>
      </w:r>
      <w:r>
        <w:rPr>
          <w:rFonts w:hint="eastAsia" w:ascii="宋体" w:hAnsi="宋体" w:cs="Times New Roman"/>
          <w:sz w:val="28"/>
          <w:szCs w:val="28"/>
          <w:highlight w:val="none"/>
        </w:rPr>
        <w:t>合同</w:t>
      </w:r>
      <w:r>
        <w:rPr>
          <w:rFonts w:ascii="宋体" w:hAnsi="宋体" w:cs="Times New Roman"/>
          <w:sz w:val="28"/>
          <w:szCs w:val="28"/>
          <w:highlight w:val="none"/>
        </w:rPr>
        <w:t>方，可以相同的条件取得该施工设备的使用权。</w:t>
      </w:r>
    </w:p>
    <w:p w14:paraId="0CC2202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7.8 甲方有权要求乙方增加和更换施工设备</w:t>
      </w:r>
    </w:p>
    <w:p w14:paraId="7B50904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甲方一旦发现乙方使用的施工设备影响工程进度或质量时，有权要求乙方增加或更换施工设备，乙方应予及时增加或更换，由此增加的费用和工期延误责任由乙方承担。</w:t>
      </w:r>
    </w:p>
    <w:p w14:paraId="2A90783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7.9 乙方需要使用代用材料时，须经甲方</w:t>
      </w:r>
      <w:r>
        <w:rPr>
          <w:rFonts w:hint="eastAsia" w:ascii="宋体" w:hAnsi="宋体" w:cs="Times New Roman"/>
          <w:sz w:val="28"/>
          <w:szCs w:val="28"/>
          <w:highlight w:val="none"/>
        </w:rPr>
        <w:t>代表</w:t>
      </w:r>
      <w:r>
        <w:rPr>
          <w:rFonts w:ascii="宋体" w:hAnsi="宋体" w:cs="Times New Roman"/>
          <w:sz w:val="28"/>
          <w:szCs w:val="28"/>
          <w:highlight w:val="none"/>
        </w:rPr>
        <w:t>认可后才能使用，由此增减的合同价款双方以书面形式议定</w:t>
      </w:r>
      <w:r>
        <w:rPr>
          <w:rFonts w:hint="eastAsia" w:ascii="宋体" w:hAnsi="宋体" w:cs="Times New Roman"/>
          <w:sz w:val="28"/>
          <w:szCs w:val="28"/>
          <w:highlight w:val="none"/>
        </w:rPr>
        <w:t>，若是乙方原因导致须使用代用材料，由乙方自行承担材料费用</w:t>
      </w:r>
      <w:r>
        <w:rPr>
          <w:rFonts w:ascii="宋体" w:hAnsi="宋体" w:cs="Times New Roman"/>
          <w:sz w:val="28"/>
          <w:szCs w:val="28"/>
          <w:highlight w:val="none"/>
        </w:rPr>
        <w:t>。</w:t>
      </w:r>
    </w:p>
    <w:p w14:paraId="202A24D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 双方权利义务</w:t>
      </w:r>
    </w:p>
    <w:p w14:paraId="44064DD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除本合同其它条款约定以外，双方具有以下权利义务：</w:t>
      </w:r>
    </w:p>
    <w:p w14:paraId="3AD9A7E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8.1 甲方权利和义务</w:t>
      </w:r>
    </w:p>
    <w:p w14:paraId="54DF940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在施工过程中，甲方有权派代表或委托代理人随时对工程质量、进度、安全文明施工等方面进行监督检查，并有权对乙方违反规定的情形扣减违约金。</w:t>
      </w:r>
      <w:r>
        <w:rPr>
          <w:rFonts w:hint="eastAsia" w:ascii="宋体" w:hAnsi="宋体" w:cs="Times New Roman"/>
          <w:sz w:val="28"/>
          <w:szCs w:val="28"/>
          <w:highlight w:val="none"/>
        </w:rPr>
        <w:t>甲方代表为：</w:t>
      </w:r>
      <w:r>
        <w:rPr>
          <w:rFonts w:hint="eastAsia" w:ascii="宋体" w:hAnsi="宋体" w:cs="Times New Roman"/>
          <w:sz w:val="28"/>
          <w:szCs w:val="28"/>
          <w:highlight w:val="none"/>
          <w:u w:val="single"/>
        </w:rPr>
        <w:t xml:space="preserve"> </w:t>
      </w:r>
      <w:r>
        <w:rPr>
          <w:rFonts w:hint="eastAsia" w:ascii="宋体" w:hAnsi="宋体" w:cs="Times New Roman"/>
          <w:sz w:val="28"/>
          <w:szCs w:val="28"/>
          <w:highlight w:val="none"/>
          <w:u w:val="single"/>
          <w:lang w:val="en-US" w:eastAsia="zh-CN"/>
        </w:rPr>
        <w:t xml:space="preserve">    </w:t>
      </w:r>
      <w:r>
        <w:rPr>
          <w:rFonts w:hint="eastAsia" w:ascii="宋体" w:hAnsi="宋体" w:cs="Times New Roman"/>
          <w:sz w:val="28"/>
          <w:szCs w:val="28"/>
          <w:highlight w:val="none"/>
          <w:u w:val="single"/>
        </w:rPr>
        <w:t xml:space="preserve"> </w:t>
      </w:r>
      <w:r>
        <w:rPr>
          <w:rFonts w:hint="eastAsia" w:ascii="宋体" w:hAnsi="宋体" w:cs="Times New Roman"/>
          <w:sz w:val="28"/>
          <w:szCs w:val="28"/>
          <w:highlight w:val="none"/>
        </w:rPr>
        <w:t>，联系方式：</w:t>
      </w:r>
      <w:r>
        <w:rPr>
          <w:rFonts w:hint="eastAsia" w:ascii="宋体" w:hAnsi="宋体" w:cs="Times New Roman"/>
          <w:sz w:val="28"/>
          <w:szCs w:val="28"/>
          <w:highlight w:val="none"/>
          <w:u w:val="single"/>
        </w:rPr>
        <w:t xml:space="preserve"> </w:t>
      </w:r>
      <w:r>
        <w:rPr>
          <w:rFonts w:hint="eastAsia" w:ascii="宋体" w:hAnsi="宋体" w:cs="Times New Roman"/>
          <w:sz w:val="28"/>
          <w:szCs w:val="28"/>
          <w:highlight w:val="none"/>
          <w:u w:val="single"/>
          <w:lang w:val="en-US" w:eastAsia="zh-CN"/>
        </w:rPr>
        <w:t xml:space="preserve">           </w:t>
      </w:r>
      <w:r>
        <w:rPr>
          <w:rFonts w:hint="eastAsia" w:ascii="宋体" w:hAnsi="宋体" w:cs="Times New Roman"/>
          <w:sz w:val="28"/>
          <w:szCs w:val="28"/>
          <w:highlight w:val="none"/>
        </w:rPr>
        <w:t>。</w:t>
      </w:r>
    </w:p>
    <w:p w14:paraId="1D1AE9F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8.1.1 遵守</w:t>
      </w:r>
      <w:r>
        <w:rPr>
          <w:rFonts w:hint="eastAsia" w:ascii="宋体" w:hAnsi="宋体" w:cs="Times New Roman"/>
          <w:sz w:val="28"/>
          <w:szCs w:val="28"/>
          <w:highlight w:val="none"/>
        </w:rPr>
        <w:t>法律法规</w:t>
      </w:r>
      <w:r>
        <w:rPr>
          <w:rFonts w:ascii="宋体" w:hAnsi="宋体" w:cs="Times New Roman"/>
          <w:sz w:val="28"/>
          <w:szCs w:val="28"/>
          <w:highlight w:val="none"/>
        </w:rPr>
        <w:t>和规章</w:t>
      </w:r>
    </w:p>
    <w:p w14:paraId="1DBD503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甲方应在其实施本合同的全部工作中遵守与本合同有关的</w:t>
      </w:r>
      <w:r>
        <w:rPr>
          <w:rFonts w:hint="eastAsia" w:ascii="宋体" w:hAnsi="宋体" w:cs="Times New Roman"/>
          <w:sz w:val="28"/>
          <w:szCs w:val="28"/>
          <w:highlight w:val="none"/>
        </w:rPr>
        <w:t>法律法规</w:t>
      </w:r>
      <w:r>
        <w:rPr>
          <w:rFonts w:ascii="宋体" w:hAnsi="宋体" w:cs="Times New Roman"/>
          <w:sz w:val="28"/>
          <w:szCs w:val="28"/>
          <w:highlight w:val="none"/>
        </w:rPr>
        <w:t>和规章，并应承担由于其自身违反上述</w:t>
      </w:r>
      <w:r>
        <w:rPr>
          <w:rFonts w:hint="eastAsia" w:ascii="宋体" w:hAnsi="宋体" w:cs="Times New Roman"/>
          <w:sz w:val="28"/>
          <w:szCs w:val="28"/>
          <w:highlight w:val="none"/>
        </w:rPr>
        <w:t>法律法规</w:t>
      </w:r>
      <w:r>
        <w:rPr>
          <w:rFonts w:ascii="宋体" w:hAnsi="宋体" w:cs="Times New Roman"/>
          <w:sz w:val="28"/>
          <w:szCs w:val="28"/>
          <w:highlight w:val="none"/>
        </w:rPr>
        <w:t>和规章的责任。</w:t>
      </w:r>
    </w:p>
    <w:p w14:paraId="5333F40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8.1.2 发布开工通知</w:t>
      </w:r>
    </w:p>
    <w:p w14:paraId="2B425FD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甲方应按合同规定向乙方发布开工通知。</w:t>
      </w:r>
    </w:p>
    <w:p w14:paraId="25EF341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8.1.3 提供施工用地</w:t>
      </w:r>
    </w:p>
    <w:p w14:paraId="36D74E6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甲方协助</w:t>
      </w:r>
      <w:r>
        <w:rPr>
          <w:rFonts w:hint="eastAsia" w:ascii="宋体" w:hAnsi="宋体" w:cs="Times New Roman"/>
          <w:sz w:val="28"/>
          <w:szCs w:val="28"/>
          <w:highlight w:val="none"/>
          <w:lang w:val="en-US" w:eastAsia="zh-CN"/>
        </w:rPr>
        <w:t>乙方</w:t>
      </w:r>
      <w:r>
        <w:rPr>
          <w:rFonts w:ascii="宋体" w:hAnsi="宋体" w:cs="Times New Roman"/>
          <w:sz w:val="28"/>
          <w:szCs w:val="28"/>
          <w:highlight w:val="none"/>
        </w:rPr>
        <w:t>办理有关用地手续。</w:t>
      </w:r>
    </w:p>
    <w:p w14:paraId="55F390E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8.1.4 提供部分施工准备工程</w:t>
      </w:r>
    </w:p>
    <w:p w14:paraId="3B79F2B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甲方应按合同规定，完成由甲方承担的施工准备工程，并按合同规定提供乙方使用。</w:t>
      </w:r>
    </w:p>
    <w:p w14:paraId="53401D1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8.1.5 提供测量基准</w:t>
      </w:r>
    </w:p>
    <w:p w14:paraId="1659679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甲方应按第10.</w:t>
      </w:r>
      <w:r>
        <w:rPr>
          <w:rFonts w:hint="eastAsia" w:ascii="宋体" w:hAnsi="宋体" w:cs="Times New Roman"/>
          <w:sz w:val="28"/>
          <w:szCs w:val="28"/>
          <w:highlight w:val="none"/>
          <w:lang w:val="en-US" w:eastAsia="zh-CN"/>
        </w:rPr>
        <w:t>8</w:t>
      </w:r>
      <w:r>
        <w:rPr>
          <w:rFonts w:ascii="宋体" w:hAnsi="宋体" w:cs="Times New Roman"/>
          <w:sz w:val="28"/>
          <w:szCs w:val="28"/>
          <w:highlight w:val="none"/>
        </w:rPr>
        <w:t>.1款的有关规定，向乙方提供现场测量基准点、基准线和水准点及其有关资料。</w:t>
      </w:r>
    </w:p>
    <w:p w14:paraId="540A168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8.1.6 提供已有的水文和地下管网资料</w:t>
      </w:r>
    </w:p>
    <w:p w14:paraId="278DAB3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甲方应协助乙方收集已有的与本合同工程有关的水文和地下管网、构筑物资料，但不对乙方使用上述数据以及所作的分析、判断和推论负责。</w:t>
      </w:r>
    </w:p>
    <w:p w14:paraId="39D1B0B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8.1.</w:t>
      </w:r>
      <w:r>
        <w:rPr>
          <w:rFonts w:hint="eastAsia" w:ascii="宋体" w:hAnsi="宋体" w:cs="Times New Roman"/>
          <w:sz w:val="28"/>
          <w:szCs w:val="28"/>
          <w:highlight w:val="none"/>
        </w:rPr>
        <w:t>7</w:t>
      </w:r>
      <w:r>
        <w:rPr>
          <w:rFonts w:ascii="宋体" w:hAnsi="宋体" w:cs="Times New Roman"/>
          <w:sz w:val="28"/>
          <w:szCs w:val="28"/>
          <w:highlight w:val="none"/>
        </w:rPr>
        <w:t xml:space="preserve"> 及时提供图纸</w:t>
      </w:r>
    </w:p>
    <w:p w14:paraId="5287D42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甲方应在合同规定的期限内向乙方提供图纸。</w:t>
      </w:r>
    </w:p>
    <w:p w14:paraId="6F9A3A5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8.1.</w:t>
      </w:r>
      <w:r>
        <w:rPr>
          <w:rFonts w:hint="eastAsia" w:ascii="宋体" w:hAnsi="宋体" w:cs="Times New Roman"/>
          <w:sz w:val="28"/>
          <w:szCs w:val="28"/>
          <w:highlight w:val="none"/>
        </w:rPr>
        <w:t>8</w:t>
      </w:r>
      <w:r>
        <w:rPr>
          <w:rFonts w:ascii="宋体" w:hAnsi="宋体" w:cs="Times New Roman"/>
          <w:sz w:val="28"/>
          <w:szCs w:val="28"/>
          <w:highlight w:val="none"/>
        </w:rPr>
        <w:t xml:space="preserve"> 支付合同价款</w:t>
      </w:r>
    </w:p>
    <w:p w14:paraId="7B8B7E5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甲方应按第6条的规定支付合同价款。</w:t>
      </w:r>
    </w:p>
    <w:p w14:paraId="7C8EC2C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8.1.</w:t>
      </w:r>
      <w:r>
        <w:rPr>
          <w:rFonts w:hint="eastAsia" w:ascii="宋体" w:hAnsi="宋体" w:cs="Times New Roman"/>
          <w:sz w:val="28"/>
          <w:szCs w:val="28"/>
          <w:highlight w:val="none"/>
        </w:rPr>
        <w:t>9</w:t>
      </w:r>
      <w:r>
        <w:rPr>
          <w:rFonts w:ascii="宋体" w:hAnsi="宋体" w:cs="Times New Roman"/>
          <w:sz w:val="28"/>
          <w:szCs w:val="28"/>
          <w:highlight w:val="none"/>
        </w:rPr>
        <w:t xml:space="preserve"> 环境保护</w:t>
      </w:r>
    </w:p>
    <w:p w14:paraId="6EAEEFA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甲方有权按环境保护的</w:t>
      </w:r>
      <w:r>
        <w:rPr>
          <w:rFonts w:hint="eastAsia" w:ascii="宋体" w:hAnsi="宋体" w:cs="Times New Roman"/>
          <w:sz w:val="28"/>
          <w:szCs w:val="28"/>
          <w:highlight w:val="none"/>
        </w:rPr>
        <w:t>法律法规</w:t>
      </w:r>
      <w:r>
        <w:rPr>
          <w:rFonts w:ascii="宋体" w:hAnsi="宋体" w:cs="Times New Roman"/>
          <w:sz w:val="28"/>
          <w:szCs w:val="28"/>
          <w:highlight w:val="none"/>
        </w:rPr>
        <w:t>和规章的有关规定审查乙方按第11.2条规定所采取的环境保护措施，并监督其实施。</w:t>
      </w:r>
    </w:p>
    <w:p w14:paraId="6393F7B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8.1.1</w:t>
      </w:r>
      <w:r>
        <w:rPr>
          <w:rFonts w:hint="eastAsia" w:ascii="宋体" w:hAnsi="宋体" w:cs="Times New Roman"/>
          <w:sz w:val="28"/>
          <w:szCs w:val="28"/>
          <w:highlight w:val="none"/>
        </w:rPr>
        <w:t>0</w:t>
      </w:r>
      <w:r>
        <w:rPr>
          <w:rFonts w:ascii="宋体" w:hAnsi="宋体" w:cs="Times New Roman"/>
          <w:sz w:val="28"/>
          <w:szCs w:val="28"/>
          <w:highlight w:val="none"/>
        </w:rPr>
        <w:t xml:space="preserve"> 组织工程验收</w:t>
      </w:r>
    </w:p>
    <w:p w14:paraId="44A541D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甲方应按第10.</w:t>
      </w:r>
      <w:r>
        <w:rPr>
          <w:rFonts w:hint="eastAsia" w:ascii="宋体" w:hAnsi="宋体" w:cs="Times New Roman"/>
          <w:sz w:val="28"/>
          <w:szCs w:val="28"/>
          <w:highlight w:val="none"/>
        </w:rPr>
        <w:t>11</w:t>
      </w:r>
      <w:r>
        <w:rPr>
          <w:rFonts w:ascii="宋体" w:hAnsi="宋体" w:cs="Times New Roman"/>
          <w:sz w:val="28"/>
          <w:szCs w:val="28"/>
          <w:highlight w:val="none"/>
        </w:rPr>
        <w:t>条的规定主持和组织工程的竣工验收。</w:t>
      </w:r>
    </w:p>
    <w:p w14:paraId="5DAE0E3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8.1.1</w:t>
      </w:r>
      <w:r>
        <w:rPr>
          <w:rFonts w:hint="eastAsia" w:ascii="宋体" w:hAnsi="宋体" w:cs="Times New Roman"/>
          <w:sz w:val="28"/>
          <w:szCs w:val="28"/>
          <w:highlight w:val="none"/>
        </w:rPr>
        <w:t>1</w:t>
      </w:r>
      <w:r>
        <w:rPr>
          <w:rFonts w:ascii="宋体" w:hAnsi="宋体" w:cs="Times New Roman"/>
          <w:sz w:val="28"/>
          <w:szCs w:val="28"/>
          <w:highlight w:val="none"/>
        </w:rPr>
        <w:t xml:space="preserve"> 甲方有权监督乙方针对本工程</w:t>
      </w:r>
      <w:r>
        <w:rPr>
          <w:rFonts w:hint="eastAsia" w:ascii="宋体" w:hAnsi="宋体" w:cs="Times New Roman"/>
          <w:sz w:val="28"/>
          <w:szCs w:val="28"/>
          <w:highlight w:val="none"/>
          <w:lang w:val="en-US" w:eastAsia="zh-CN"/>
        </w:rPr>
        <w:t>劳务队伍和</w:t>
      </w:r>
      <w:r>
        <w:rPr>
          <w:rFonts w:ascii="宋体" w:hAnsi="宋体" w:cs="Times New Roman"/>
          <w:sz w:val="28"/>
          <w:szCs w:val="28"/>
          <w:highlight w:val="none"/>
        </w:rPr>
        <w:t>材料供应商的付款履约情况</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若发生因乙方未及时足额支付民工工资的讨薪事件，甲方按本合同约定处以乙方违约金，若乙方未及时处理讨薪事件给甲方的充电站正常运营造成影响甚至经济损失的，乙方应向甲方赔偿</w:t>
      </w:r>
      <w:r>
        <w:rPr>
          <w:rFonts w:ascii="宋体" w:hAnsi="宋体" w:cs="Times New Roman"/>
          <w:sz w:val="28"/>
          <w:szCs w:val="28"/>
          <w:highlight w:val="none"/>
        </w:rPr>
        <w:t>。</w:t>
      </w:r>
    </w:p>
    <w:p w14:paraId="5ADAAEE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 乙方权利和义务</w:t>
      </w:r>
    </w:p>
    <w:p w14:paraId="28D5CBF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 遵守</w:t>
      </w:r>
      <w:r>
        <w:rPr>
          <w:rFonts w:hint="eastAsia" w:ascii="宋体" w:hAnsi="宋体" w:cs="Times New Roman"/>
          <w:sz w:val="28"/>
          <w:szCs w:val="28"/>
          <w:highlight w:val="none"/>
        </w:rPr>
        <w:t>法律法规</w:t>
      </w:r>
      <w:r>
        <w:rPr>
          <w:rFonts w:ascii="宋体" w:hAnsi="宋体" w:cs="Times New Roman"/>
          <w:sz w:val="28"/>
          <w:szCs w:val="28"/>
          <w:highlight w:val="none"/>
        </w:rPr>
        <w:t>和规章</w:t>
      </w:r>
    </w:p>
    <w:p w14:paraId="4CF9929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乙方应在其负责的各项工作中遵守与本合同工程有关的</w:t>
      </w:r>
      <w:r>
        <w:rPr>
          <w:rFonts w:hint="eastAsia" w:ascii="宋体" w:hAnsi="宋体" w:cs="Times New Roman"/>
          <w:sz w:val="28"/>
          <w:szCs w:val="28"/>
          <w:highlight w:val="none"/>
        </w:rPr>
        <w:t>法律法规</w:t>
      </w:r>
      <w:r>
        <w:rPr>
          <w:rFonts w:ascii="宋体" w:hAnsi="宋体" w:cs="Times New Roman"/>
          <w:sz w:val="28"/>
          <w:szCs w:val="28"/>
          <w:highlight w:val="none"/>
        </w:rPr>
        <w:t>和规章，并保证甲方免于承担由于乙方违反上述</w:t>
      </w:r>
      <w:r>
        <w:rPr>
          <w:rFonts w:hint="eastAsia" w:ascii="宋体" w:hAnsi="宋体" w:cs="Times New Roman"/>
          <w:sz w:val="28"/>
          <w:szCs w:val="28"/>
          <w:highlight w:val="none"/>
        </w:rPr>
        <w:t>法律法规</w:t>
      </w:r>
      <w:r>
        <w:rPr>
          <w:rFonts w:ascii="宋体" w:hAnsi="宋体" w:cs="Times New Roman"/>
          <w:sz w:val="28"/>
          <w:szCs w:val="28"/>
          <w:highlight w:val="none"/>
        </w:rPr>
        <w:t>和规章的任何责任。</w:t>
      </w:r>
    </w:p>
    <w:p w14:paraId="5EFB406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8.2.2 履约担保</w:t>
      </w:r>
    </w:p>
    <w:p w14:paraId="38FA414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8.2.2.1 履约担保内容</w:t>
      </w:r>
    </w:p>
    <w:p w14:paraId="72E1EAC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履约保证金</w:t>
      </w:r>
      <w:r>
        <w:rPr>
          <w:rFonts w:hint="eastAsia" w:ascii="宋体" w:hAnsi="宋体" w:cs="Times New Roman"/>
          <w:sz w:val="28"/>
          <w:szCs w:val="28"/>
          <w:highlight w:val="none"/>
        </w:rPr>
        <w:t>金额：人民币</w:t>
      </w:r>
      <w:r>
        <w:rPr>
          <w:rFonts w:hint="eastAsia" w:ascii="宋体" w:hAnsi="宋体" w:cs="Times New Roman"/>
          <w:sz w:val="28"/>
          <w:szCs w:val="28"/>
          <w:highlight w:val="none"/>
          <w:u w:val="single"/>
          <w:lang w:val="en-US" w:eastAsia="zh-CN"/>
        </w:rPr>
        <w:t xml:space="preserve"> 捌 </w:t>
      </w:r>
      <w:r>
        <w:rPr>
          <w:rFonts w:hint="eastAsia" w:ascii="宋体" w:hAnsi="宋体" w:cs="Times New Roman"/>
          <w:sz w:val="28"/>
          <w:szCs w:val="28"/>
          <w:highlight w:val="none"/>
        </w:rPr>
        <w:t>万元整（小写：</w:t>
      </w:r>
      <w:r>
        <w:rPr>
          <w:rFonts w:hint="eastAsia" w:ascii="宋体" w:hAnsi="宋体" w:cs="Times New Roman"/>
          <w:sz w:val="28"/>
          <w:szCs w:val="28"/>
          <w:highlight w:val="none"/>
          <w:u w:val="single"/>
          <w:lang w:val="en-US" w:eastAsia="zh-CN"/>
        </w:rPr>
        <w:t>80000.00</w:t>
      </w:r>
      <w:r>
        <w:rPr>
          <w:rFonts w:hint="eastAsia" w:ascii="宋体" w:hAnsi="宋体" w:cs="Times New Roman"/>
          <w:sz w:val="28"/>
          <w:szCs w:val="28"/>
          <w:highlight w:val="none"/>
        </w:rPr>
        <w:t>元）。</w:t>
      </w:r>
    </w:p>
    <w:p w14:paraId="587C572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履约担保的形式：其中现金占</w:t>
      </w:r>
      <w:r>
        <w:rPr>
          <w:rFonts w:hint="eastAsia" w:ascii="宋体" w:hAnsi="宋体" w:cs="Times New Roman"/>
          <w:sz w:val="28"/>
          <w:szCs w:val="28"/>
          <w:highlight w:val="none"/>
          <w:u w:val="single"/>
        </w:rPr>
        <w:t xml:space="preserve"> </w:t>
      </w:r>
      <w:r>
        <w:rPr>
          <w:rFonts w:hint="eastAsia" w:ascii="宋体" w:hAnsi="宋体" w:cs="Times New Roman"/>
          <w:sz w:val="28"/>
          <w:szCs w:val="28"/>
          <w:highlight w:val="none"/>
          <w:u w:val="single"/>
          <w:lang w:val="en-US" w:eastAsia="zh-CN"/>
        </w:rPr>
        <w:t xml:space="preserve">   </w:t>
      </w:r>
      <w:r>
        <w:rPr>
          <w:rFonts w:hint="eastAsia" w:ascii="宋体" w:hAnsi="宋体" w:cs="Times New Roman"/>
          <w:sz w:val="28"/>
          <w:szCs w:val="28"/>
          <w:highlight w:val="none"/>
          <w:u w:val="single"/>
        </w:rPr>
        <w:t xml:space="preserve">  </w:t>
      </w:r>
      <w:r>
        <w:rPr>
          <w:rFonts w:ascii="宋体" w:hAnsi="宋体" w:cs="Times New Roman"/>
          <w:sz w:val="28"/>
          <w:szCs w:val="28"/>
          <w:highlight w:val="none"/>
        </w:rPr>
        <w:t>%，保函担保占</w:t>
      </w:r>
      <w:r>
        <w:rPr>
          <w:rFonts w:hint="eastAsia" w:ascii="宋体" w:hAnsi="宋体" w:cs="Times New Roman"/>
          <w:sz w:val="28"/>
          <w:szCs w:val="28"/>
          <w:highlight w:val="none"/>
          <w:u w:val="single"/>
        </w:rPr>
        <w:t xml:space="preserve"> </w:t>
      </w:r>
      <w:r>
        <w:rPr>
          <w:rFonts w:hint="eastAsia" w:ascii="宋体" w:hAnsi="宋体" w:cs="Times New Roman"/>
          <w:sz w:val="28"/>
          <w:szCs w:val="28"/>
          <w:highlight w:val="none"/>
          <w:u w:val="single"/>
          <w:lang w:val="en-US" w:eastAsia="zh-CN"/>
        </w:rPr>
        <w:t xml:space="preserve"> </w:t>
      </w:r>
      <w:r>
        <w:rPr>
          <w:rFonts w:hint="eastAsia" w:ascii="宋体" w:hAnsi="宋体" w:cs="Times New Roman"/>
          <w:sz w:val="28"/>
          <w:szCs w:val="28"/>
          <w:highlight w:val="none"/>
          <w:u w:val="single"/>
        </w:rPr>
        <w:t xml:space="preserve"> </w:t>
      </w:r>
      <w:r>
        <w:rPr>
          <w:rFonts w:hint="eastAsia" w:ascii="宋体" w:hAnsi="宋体" w:cs="Times New Roman"/>
          <w:sz w:val="28"/>
          <w:szCs w:val="28"/>
          <w:highlight w:val="none"/>
        </w:rPr>
        <w:t xml:space="preserve"> </w:t>
      </w:r>
      <w:r>
        <w:rPr>
          <w:rFonts w:ascii="宋体" w:hAnsi="宋体" w:cs="Times New Roman"/>
          <w:sz w:val="28"/>
          <w:szCs w:val="28"/>
          <w:highlight w:val="none"/>
        </w:rPr>
        <w:t>%（现金担保必须通过乙方的基本账户以银行转账方式缴纳）</w:t>
      </w:r>
    </w:p>
    <w:p w14:paraId="4176FCA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8.2.2.1.2 履约保证金缴纳时间</w:t>
      </w:r>
    </w:p>
    <w:p w14:paraId="292C9A56">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lang w:eastAsia="zh-CN"/>
        </w:rPr>
        <w:t>乙方</w:t>
      </w:r>
      <w:r>
        <w:rPr>
          <w:rFonts w:ascii="宋体" w:hAnsi="宋体" w:cs="Times New Roman"/>
          <w:sz w:val="28"/>
          <w:szCs w:val="28"/>
          <w:highlight w:val="none"/>
        </w:rPr>
        <w:t>应在收到</w:t>
      </w:r>
      <w:r>
        <w:rPr>
          <w:rFonts w:hint="eastAsia" w:ascii="宋体" w:hAnsi="宋体" w:cs="Times New Roman"/>
          <w:sz w:val="28"/>
          <w:szCs w:val="28"/>
          <w:highlight w:val="none"/>
        </w:rPr>
        <w:t>中选</w:t>
      </w:r>
      <w:r>
        <w:rPr>
          <w:rFonts w:ascii="宋体" w:hAnsi="宋体" w:cs="Times New Roman"/>
          <w:sz w:val="28"/>
          <w:szCs w:val="28"/>
          <w:highlight w:val="none"/>
        </w:rPr>
        <w:t>通知书</w:t>
      </w:r>
      <w:r>
        <w:rPr>
          <w:rFonts w:hint="eastAsia" w:ascii="宋体" w:hAnsi="宋体" w:cs="Times New Roman"/>
          <w:sz w:val="28"/>
          <w:szCs w:val="28"/>
          <w:highlight w:val="none"/>
        </w:rPr>
        <w:t>之后</w:t>
      </w:r>
      <w:r>
        <w:rPr>
          <w:rFonts w:ascii="宋体" w:hAnsi="宋体" w:cs="Times New Roman"/>
          <w:sz w:val="28"/>
          <w:szCs w:val="28"/>
          <w:highlight w:val="none"/>
        </w:rPr>
        <w:t>按照</w:t>
      </w:r>
      <w:r>
        <w:rPr>
          <w:rFonts w:hint="eastAsia" w:ascii="宋体" w:hAnsi="宋体" w:cs="Times New Roman"/>
          <w:sz w:val="28"/>
          <w:szCs w:val="28"/>
          <w:highlight w:val="none"/>
        </w:rPr>
        <w:t>比选文件</w:t>
      </w:r>
      <w:r>
        <w:rPr>
          <w:rFonts w:ascii="宋体" w:hAnsi="宋体" w:cs="Times New Roman"/>
          <w:sz w:val="28"/>
          <w:szCs w:val="28"/>
          <w:highlight w:val="none"/>
        </w:rPr>
        <w:t>中</w:t>
      </w:r>
      <w:r>
        <w:rPr>
          <w:rFonts w:hint="eastAsia" w:ascii="宋体" w:hAnsi="宋体" w:cs="Times New Roman"/>
          <w:sz w:val="28"/>
          <w:szCs w:val="28"/>
          <w:highlight w:val="none"/>
        </w:rPr>
        <w:t>比选申请人</w:t>
      </w:r>
      <w:r>
        <w:rPr>
          <w:rFonts w:ascii="宋体" w:hAnsi="宋体" w:cs="Times New Roman"/>
          <w:sz w:val="28"/>
          <w:szCs w:val="28"/>
          <w:highlight w:val="none"/>
        </w:rPr>
        <w:t>须知前附表规定的方式提交履约担保。</w:t>
      </w:r>
    </w:p>
    <w:p w14:paraId="4563783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8.2.2.1.3 履约担保有效期</w:t>
      </w:r>
    </w:p>
    <w:p w14:paraId="015FF51B">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lang w:eastAsia="zh-CN"/>
        </w:rPr>
        <w:t>乙方</w:t>
      </w:r>
      <w:r>
        <w:rPr>
          <w:rFonts w:ascii="宋体" w:hAnsi="宋体" w:cs="Times New Roman"/>
          <w:sz w:val="28"/>
          <w:szCs w:val="28"/>
          <w:highlight w:val="none"/>
        </w:rPr>
        <w:t>应保证履约担保在竣工验收合格之前一直有效。</w:t>
      </w:r>
    </w:p>
    <w:p w14:paraId="0DD56B7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8.2.2.1.4 履约担保的退还</w:t>
      </w:r>
      <w:r>
        <w:rPr>
          <w:rFonts w:ascii="宋体" w:hAnsi="宋体" w:cs="Times New Roman"/>
          <w:sz w:val="28"/>
          <w:szCs w:val="28"/>
          <w:highlight w:val="none"/>
        </w:rPr>
        <w:tab/>
      </w:r>
    </w:p>
    <w:p w14:paraId="3AEAED5D">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全部</w:t>
      </w:r>
      <w:r>
        <w:rPr>
          <w:rFonts w:hint="eastAsia" w:ascii="宋体" w:hAnsi="宋体"/>
          <w:sz w:val="28"/>
          <w:szCs w:val="28"/>
          <w:highlight w:val="none"/>
        </w:rPr>
        <w:t>工程竣工验收合格并试运行后15个工作日内一次性无息退还应予退还的履约保证金。</w:t>
      </w:r>
    </w:p>
    <w:p w14:paraId="5D33921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8.2.3 及时进场施工</w:t>
      </w:r>
    </w:p>
    <w:p w14:paraId="20B0379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（1）乙方应在</w:t>
      </w:r>
      <w:r>
        <w:rPr>
          <w:rFonts w:hint="eastAsia" w:ascii="宋体" w:hAnsi="宋体" w:cs="Times New Roman"/>
          <w:sz w:val="28"/>
          <w:szCs w:val="28"/>
          <w:highlight w:val="none"/>
        </w:rPr>
        <w:t>甲方发出开工通知</w:t>
      </w:r>
      <w:r>
        <w:rPr>
          <w:rFonts w:ascii="宋体" w:hAnsi="宋体" w:cs="Times New Roman"/>
          <w:sz w:val="28"/>
          <w:szCs w:val="28"/>
          <w:highlight w:val="none"/>
        </w:rPr>
        <w:t>后3天内及时调遣人员和调配施工设备、材料进入工地，按施工总进度要求完成施工准备工作。</w:t>
      </w:r>
    </w:p>
    <w:p w14:paraId="38335EB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因乙方不及时进场进行施工准备或不办理相关施工手续，致使开工通知（或报告）无法正常下达，每延误一天，甲方有权向乙方收取5000元违约金，乙方延期进场超过10天，甲方有权</w:t>
      </w:r>
      <w:r>
        <w:rPr>
          <w:rFonts w:hint="eastAsia" w:ascii="宋体" w:hAnsi="宋体" w:cs="Times New Roman"/>
          <w:sz w:val="28"/>
          <w:szCs w:val="28"/>
          <w:highlight w:val="none"/>
        </w:rPr>
        <w:t>解除</w:t>
      </w:r>
      <w:r>
        <w:rPr>
          <w:rFonts w:ascii="宋体" w:hAnsi="宋体" w:cs="Times New Roman"/>
          <w:sz w:val="28"/>
          <w:szCs w:val="28"/>
          <w:highlight w:val="none"/>
        </w:rPr>
        <w:t>合同，乙方应当向甲方</w:t>
      </w:r>
      <w:r>
        <w:rPr>
          <w:rFonts w:hint="eastAsia" w:ascii="宋体" w:hAnsi="宋体" w:cs="Times New Roman"/>
          <w:sz w:val="28"/>
          <w:szCs w:val="28"/>
          <w:highlight w:val="none"/>
        </w:rPr>
        <w:t>另行</w:t>
      </w:r>
      <w:r>
        <w:rPr>
          <w:rFonts w:ascii="宋体" w:hAnsi="宋体" w:cs="Times New Roman"/>
          <w:sz w:val="28"/>
          <w:szCs w:val="28"/>
          <w:highlight w:val="none"/>
        </w:rPr>
        <w:t>支付合同暂定总金额</w:t>
      </w:r>
      <w:r>
        <w:rPr>
          <w:rFonts w:hint="eastAsia" w:ascii="宋体" w:hAnsi="宋体" w:cs="Times New Roman"/>
          <w:sz w:val="28"/>
          <w:szCs w:val="28"/>
          <w:highlight w:val="none"/>
          <w:lang w:val="en-US" w:eastAsia="zh-CN"/>
        </w:rPr>
        <w:t>10</w:t>
      </w:r>
      <w:r>
        <w:rPr>
          <w:rFonts w:ascii="宋体" w:hAnsi="宋体" w:cs="Times New Roman"/>
          <w:sz w:val="28"/>
          <w:szCs w:val="28"/>
          <w:highlight w:val="none"/>
        </w:rPr>
        <w:t>%的违约金，退还甲方支付的所有费用并赔偿甲方一切损失。</w:t>
      </w:r>
    </w:p>
    <w:p w14:paraId="5A26DCE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8.2.4 执行甲方的指示，按时完成各项承包工作</w:t>
      </w:r>
    </w:p>
    <w:p w14:paraId="080A099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乙方应认真执行甲方发出的与合同有关的任何指示，按合同规定的内容和时间完成承包</w:t>
      </w:r>
      <w:r>
        <w:rPr>
          <w:rFonts w:hint="eastAsia" w:ascii="宋体" w:hAnsi="宋体" w:cs="Times New Roman"/>
          <w:sz w:val="28"/>
          <w:szCs w:val="28"/>
          <w:highlight w:val="none"/>
        </w:rPr>
        <w:t>范围全部</w:t>
      </w:r>
      <w:r>
        <w:rPr>
          <w:rFonts w:ascii="宋体" w:hAnsi="宋体" w:cs="Times New Roman"/>
          <w:sz w:val="28"/>
          <w:szCs w:val="28"/>
          <w:highlight w:val="none"/>
        </w:rPr>
        <w:t>工作。</w:t>
      </w:r>
      <w:r>
        <w:rPr>
          <w:rFonts w:hint="eastAsia" w:ascii="宋体" w:hAnsi="宋体" w:cs="Times New Roman"/>
          <w:sz w:val="28"/>
          <w:szCs w:val="28"/>
          <w:highlight w:val="none"/>
        </w:rPr>
        <w:t>乙方未经甲方批准，拒绝完成承包范围内的工作，或拒绝完成工程变更的内容，</w:t>
      </w:r>
      <w:r>
        <w:rPr>
          <w:rFonts w:ascii="宋体" w:hAnsi="宋体" w:cs="Times New Roman"/>
          <w:sz w:val="28"/>
          <w:szCs w:val="28"/>
          <w:highlight w:val="none"/>
          <w:lang w:val="zh-CN"/>
        </w:rPr>
        <w:t>甲方将按</w:t>
      </w:r>
      <w:r>
        <w:rPr>
          <w:rFonts w:hint="eastAsia" w:ascii="宋体" w:hAnsi="宋体" w:cs="Times New Roman"/>
          <w:sz w:val="28"/>
          <w:szCs w:val="28"/>
          <w:highlight w:val="none"/>
          <w:lang w:val="en-US" w:eastAsia="zh-CN"/>
        </w:rPr>
        <w:t>1</w:t>
      </w:r>
      <w:r>
        <w:rPr>
          <w:rFonts w:ascii="宋体" w:hAnsi="宋体" w:cs="Times New Roman"/>
          <w:sz w:val="28"/>
          <w:szCs w:val="28"/>
          <w:highlight w:val="none"/>
          <w:lang w:val="zh-CN"/>
        </w:rPr>
        <w:t>处</w:t>
      </w:r>
      <w:r>
        <w:rPr>
          <w:rFonts w:hint="eastAsia" w:ascii="宋体" w:hAnsi="宋体" w:cs="Times New Roman"/>
          <w:sz w:val="28"/>
          <w:szCs w:val="28"/>
          <w:highlight w:val="none"/>
        </w:rPr>
        <w:t xml:space="preserve"> </w:t>
      </w:r>
      <w:r>
        <w:rPr>
          <w:rFonts w:hint="eastAsia" w:ascii="宋体" w:hAnsi="宋体" w:cs="Times New Roman"/>
          <w:sz w:val="28"/>
          <w:szCs w:val="28"/>
          <w:highlight w:val="none"/>
          <w:lang w:val="en-US" w:eastAsia="zh-CN"/>
        </w:rPr>
        <w:t>5000</w:t>
      </w:r>
      <w:r>
        <w:rPr>
          <w:rFonts w:ascii="宋体" w:hAnsi="宋体" w:cs="Times New Roman"/>
          <w:sz w:val="28"/>
          <w:szCs w:val="28"/>
          <w:highlight w:val="none"/>
          <w:lang w:val="zh-CN"/>
        </w:rPr>
        <w:t>元对乙方扣减违约金。</w:t>
      </w:r>
    </w:p>
    <w:p w14:paraId="0EB110E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除合同另有规定外，乙方应提供为完成本合同工作所需的劳务、材料、施工设备、工程设备和其它物品。</w:t>
      </w:r>
    </w:p>
    <w:p w14:paraId="3AC7C07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8.2.5 提交施工组织设计、施工措施计划和部分施工图纸</w:t>
      </w:r>
    </w:p>
    <w:p w14:paraId="394D9B0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乙方应按合同规定的内容和时间要求，编制施工组织设计、施工措施计划和由乙方负责</w:t>
      </w:r>
      <w:r>
        <w:rPr>
          <w:rFonts w:hint="eastAsia" w:ascii="宋体" w:hAnsi="宋体" w:cs="Times New Roman"/>
          <w:sz w:val="28"/>
          <w:szCs w:val="28"/>
          <w:highlight w:val="none"/>
          <w:lang w:val="en-US" w:eastAsia="zh-CN"/>
        </w:rPr>
        <w:t>深化</w:t>
      </w:r>
      <w:r>
        <w:rPr>
          <w:rFonts w:ascii="宋体" w:hAnsi="宋体" w:cs="Times New Roman"/>
          <w:sz w:val="28"/>
          <w:szCs w:val="28"/>
          <w:highlight w:val="none"/>
        </w:rPr>
        <w:t>的施工图纸，报送甲方审批，并对现场作业和施工方法的完备和可靠性负全部责任。</w:t>
      </w:r>
    </w:p>
    <w:p w14:paraId="6DD3350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8.2.6 办理保险</w:t>
      </w:r>
    </w:p>
    <w:p w14:paraId="780EBEB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乙方应按合同</w:t>
      </w:r>
      <w:r>
        <w:rPr>
          <w:rFonts w:hint="eastAsia" w:ascii="宋体" w:hAnsi="宋体" w:cs="Times New Roman"/>
          <w:sz w:val="28"/>
          <w:szCs w:val="28"/>
          <w:highlight w:val="none"/>
        </w:rPr>
        <w:t>第8.2.27</w:t>
      </w:r>
      <w:r>
        <w:rPr>
          <w:rFonts w:ascii="宋体" w:hAnsi="宋体" w:cs="Times New Roman"/>
          <w:sz w:val="28"/>
          <w:szCs w:val="28"/>
          <w:highlight w:val="none"/>
        </w:rPr>
        <w:t>规定负责办理由乙方投保的保险。</w:t>
      </w:r>
    </w:p>
    <w:p w14:paraId="6A61783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8.2.7 文明施工</w:t>
      </w:r>
    </w:p>
    <w:p w14:paraId="619D4D0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乙方应按国家及甲方有关规定文明施工，并应在施工组织设计中提出施工全过程的文明施工措施计划。</w:t>
      </w:r>
    </w:p>
    <w:p w14:paraId="78F258B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8.2.8 保证工程质量</w:t>
      </w:r>
    </w:p>
    <w:p w14:paraId="3F7EDC8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依据设计文件的要求，本工程项目的材料、设备、施工须达到现行中华人民共和国以及省、自治区、直辖市或行业的工程建设标准、规范的要求，各标准不一致的，以更高标准为准。</w:t>
      </w:r>
    </w:p>
    <w:p w14:paraId="137D6D9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8.2.9 保证工程施工和人员的安全</w:t>
      </w:r>
    </w:p>
    <w:p w14:paraId="5BCB291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乙方应按第11.1条的有关规定认真采取施工安全措施，确保工程和由其管辖的人员、材料、设施和设备的安全，并应采取有效措施防止工地附近建筑物和居民的生命财产遭受损害</w:t>
      </w:r>
      <w:r>
        <w:rPr>
          <w:rFonts w:hint="eastAsia" w:ascii="宋体" w:hAnsi="宋体" w:cs="Times New Roman"/>
          <w:sz w:val="28"/>
          <w:szCs w:val="28"/>
          <w:highlight w:val="none"/>
        </w:rPr>
        <w:t>，乙方对工程施工过程中发生的人员、财务损失承担赔偿责任，甲方若因此承担损失，可向乙方追偿，包含诉讼费、律师费等维权成本均由乙方承担</w:t>
      </w:r>
      <w:r>
        <w:rPr>
          <w:rFonts w:ascii="宋体" w:hAnsi="宋体" w:cs="Times New Roman"/>
          <w:sz w:val="28"/>
          <w:szCs w:val="28"/>
          <w:highlight w:val="none"/>
        </w:rPr>
        <w:t>。</w:t>
      </w:r>
    </w:p>
    <w:p w14:paraId="4ACFAE1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8.2.10 环境保护</w:t>
      </w:r>
    </w:p>
    <w:p w14:paraId="5205E8E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乙方应遵守环境保护的</w:t>
      </w:r>
      <w:r>
        <w:rPr>
          <w:rFonts w:hint="eastAsia" w:ascii="宋体" w:hAnsi="宋体" w:cs="Times New Roman"/>
          <w:sz w:val="28"/>
          <w:szCs w:val="28"/>
          <w:highlight w:val="none"/>
        </w:rPr>
        <w:t>法律法规</w:t>
      </w:r>
      <w:r>
        <w:rPr>
          <w:rFonts w:ascii="宋体" w:hAnsi="宋体" w:cs="Times New Roman"/>
          <w:sz w:val="28"/>
          <w:szCs w:val="28"/>
          <w:highlight w:val="none"/>
        </w:rPr>
        <w:t>和规章，并应按第11.2条的规定采取必要的措施保护工地及其附近的环境，免受因其施工引起的污染、噪声和其它因素所造成的环境破坏和人员伤害及财产损失。</w:t>
      </w:r>
    </w:p>
    <w:p w14:paraId="4F5B524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8.2.11 避免施工对公众利益的损害</w:t>
      </w:r>
    </w:p>
    <w:p w14:paraId="5B2A3B8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乙方在进行本合同规定的各项工作时，应保障甲方和其它人的财产和利益以及使用公用道路、水源和公共设施的权利免受损害。若因乙方原因造成的损害、损失或罚款，乙方应当承担其全部责任或相关经济赔偿。</w:t>
      </w:r>
    </w:p>
    <w:p w14:paraId="34E28AC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8.2.12 为其他人提供方便</w:t>
      </w:r>
    </w:p>
    <w:p w14:paraId="1B417CD4">
      <w:pPr>
        <w:spacing w:line="600" w:lineRule="exact"/>
        <w:ind w:firstLine="560" w:firstLineChars="200"/>
        <w:rPr>
          <w:rFonts w:ascii="宋体" w:hAnsi="宋体" w:cs="Times New Roman"/>
          <w:sz w:val="28"/>
          <w:szCs w:val="28"/>
          <w:highlight w:val="none"/>
          <w:lang w:val="zh-CN"/>
        </w:rPr>
      </w:pPr>
      <w:r>
        <w:rPr>
          <w:rFonts w:ascii="宋体" w:hAnsi="宋体" w:cs="Times New Roman"/>
          <w:sz w:val="28"/>
          <w:szCs w:val="28"/>
          <w:highlight w:val="none"/>
        </w:rPr>
        <w:t>乙方应按甲方的指示为其他人在本工地或附近实施与本工程有关的其它各项工作提供必要的条件，并完成或提供配合工作，所涉及的费用已含于相应报价中不再另外计取。若乙方不能按要求为其他人提供必要条件，并完成或提供配合工作。甲方即可安排其他单位实施，所发生的费用从乙方的工程款中扣除，影响工期的责任由乙方负责。</w:t>
      </w:r>
    </w:p>
    <w:p w14:paraId="303BC3D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8.2.13 工程维护和保修</w:t>
      </w:r>
    </w:p>
    <w:p w14:paraId="39B3DB1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工程</w:t>
      </w:r>
      <w:r>
        <w:rPr>
          <w:rFonts w:hint="eastAsia" w:ascii="宋体" w:hAnsi="宋体" w:cs="Times New Roman"/>
          <w:sz w:val="28"/>
          <w:szCs w:val="28"/>
          <w:highlight w:val="none"/>
          <w:lang w:val="en-US" w:eastAsia="zh-CN"/>
        </w:rPr>
        <w:t>竣工验收合格但</w:t>
      </w:r>
      <w:r>
        <w:rPr>
          <w:rFonts w:ascii="宋体" w:hAnsi="宋体" w:cs="Times New Roman"/>
          <w:sz w:val="28"/>
          <w:szCs w:val="28"/>
          <w:highlight w:val="none"/>
        </w:rPr>
        <w:t>未移交甲方前，乙方应负责照管和维护，移交后乙方应承担</w:t>
      </w:r>
      <w:r>
        <w:rPr>
          <w:rFonts w:hint="eastAsia" w:ascii="宋体" w:hAnsi="宋体" w:cs="Times New Roman"/>
          <w:sz w:val="28"/>
          <w:szCs w:val="28"/>
          <w:highlight w:val="none"/>
        </w:rPr>
        <w:t>质量保修期</w:t>
      </w:r>
      <w:r>
        <w:rPr>
          <w:rFonts w:ascii="宋体" w:hAnsi="宋体" w:cs="Times New Roman"/>
          <w:sz w:val="28"/>
          <w:szCs w:val="28"/>
          <w:highlight w:val="none"/>
        </w:rPr>
        <w:t>内的质量保修工作。若工程移交时尚有部分工程需在</w:t>
      </w:r>
      <w:r>
        <w:rPr>
          <w:rFonts w:hint="eastAsia" w:ascii="宋体" w:hAnsi="宋体" w:cs="Times New Roman"/>
          <w:sz w:val="28"/>
          <w:szCs w:val="28"/>
          <w:highlight w:val="none"/>
        </w:rPr>
        <w:t>质量保修期</w:t>
      </w:r>
      <w:r>
        <w:rPr>
          <w:rFonts w:ascii="宋体" w:hAnsi="宋体" w:cs="Times New Roman"/>
          <w:sz w:val="28"/>
          <w:szCs w:val="28"/>
          <w:highlight w:val="none"/>
        </w:rPr>
        <w:t>内继续完成，则乙方还应负责该未完工程的照管和维护工作，直至竣工后移交给甲方为止。</w:t>
      </w:r>
    </w:p>
    <w:p w14:paraId="010532B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8.2.14 竣工清场和撤出</w:t>
      </w:r>
    </w:p>
    <w:p w14:paraId="384F756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乙方应在合同规定的期限内完成工地清理并按期撤退其人员、施工设备和剩余材料。</w:t>
      </w:r>
    </w:p>
    <w:p w14:paraId="58EBAF2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8.2.15 乙方的人员</w:t>
      </w:r>
    </w:p>
    <w:p w14:paraId="4FAA803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8.2.15.1 乙方的职员和工人</w:t>
      </w:r>
    </w:p>
    <w:p w14:paraId="017A7FE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乙方应为完成合同规定的各项工作向工地派遣或雇用技术合格和数量足够的下述人员：</w:t>
      </w:r>
    </w:p>
    <w:p w14:paraId="04C076A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具有合格证明的各类专业技工和普工。</w:t>
      </w:r>
    </w:p>
    <w:p w14:paraId="7CDE3D2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具有相应技术理论知识和施工经验的各类专业技术人员及有能力进行现场施工管理和指导施工作业的工长。</w:t>
      </w:r>
    </w:p>
    <w:p w14:paraId="5B3DCB5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具有相应岗位资格的管理人员。</w:t>
      </w:r>
    </w:p>
    <w:p w14:paraId="1258405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8.2.15.2 乙方项目经理和技术负责人</w:t>
      </w:r>
    </w:p>
    <w:p w14:paraId="028871E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项目经理姓名：</w:t>
      </w:r>
      <w:r>
        <w:rPr>
          <w:rFonts w:ascii="宋体" w:hAnsi="宋体" w:cs="Times New Roman"/>
          <w:sz w:val="28"/>
          <w:szCs w:val="28"/>
          <w:highlight w:val="none"/>
          <w:u w:val="single"/>
        </w:rPr>
        <w:t xml:space="preserve"> </w:t>
      </w:r>
      <w:r>
        <w:rPr>
          <w:rFonts w:hint="eastAsia" w:ascii="宋体" w:hAnsi="宋体" w:cs="Times New Roman"/>
          <w:sz w:val="28"/>
          <w:szCs w:val="28"/>
          <w:highlight w:val="none"/>
          <w:u w:val="single"/>
          <w:lang w:val="en-US" w:eastAsia="zh-CN"/>
        </w:rPr>
        <w:t xml:space="preserve">   </w:t>
      </w:r>
      <w:r>
        <w:rPr>
          <w:rFonts w:ascii="宋体" w:hAnsi="宋体" w:cs="Times New Roman"/>
          <w:sz w:val="28"/>
          <w:szCs w:val="28"/>
          <w:highlight w:val="none"/>
          <w:u w:val="single"/>
        </w:rPr>
        <w:t xml:space="preserve"> </w:t>
      </w:r>
      <w:r>
        <w:rPr>
          <w:rFonts w:hint="eastAsia" w:ascii="宋体" w:hAnsi="宋体" w:cs="Times New Roman"/>
          <w:sz w:val="28"/>
          <w:szCs w:val="28"/>
          <w:highlight w:val="none"/>
        </w:rPr>
        <w:t>，联系方式：</w:t>
      </w:r>
      <w:r>
        <w:rPr>
          <w:rFonts w:hint="eastAsia" w:ascii="宋体" w:hAnsi="宋体" w:cs="Times New Roman"/>
          <w:sz w:val="28"/>
          <w:szCs w:val="28"/>
          <w:highlight w:val="none"/>
          <w:u w:val="single"/>
        </w:rPr>
        <w:t xml:space="preserve"> </w:t>
      </w:r>
      <w:r>
        <w:rPr>
          <w:rFonts w:hint="eastAsia" w:ascii="宋体" w:hAnsi="宋体" w:cs="Times New Roman"/>
          <w:sz w:val="28"/>
          <w:szCs w:val="28"/>
          <w:highlight w:val="none"/>
          <w:u w:val="single"/>
          <w:lang w:val="en-US" w:eastAsia="zh-CN"/>
        </w:rPr>
        <w:t xml:space="preserve">          </w:t>
      </w:r>
      <w:r>
        <w:rPr>
          <w:rFonts w:hint="eastAsia" w:ascii="宋体" w:hAnsi="宋体" w:cs="Times New Roman"/>
          <w:sz w:val="28"/>
          <w:szCs w:val="28"/>
          <w:highlight w:val="none"/>
        </w:rPr>
        <w:t>。</w:t>
      </w:r>
      <w:r>
        <w:rPr>
          <w:rFonts w:ascii="宋体" w:hAnsi="宋体" w:cs="Times New Roman"/>
          <w:sz w:val="28"/>
          <w:szCs w:val="28"/>
          <w:highlight w:val="none"/>
        </w:rPr>
        <w:t xml:space="preserve">       </w:t>
      </w:r>
    </w:p>
    <w:p w14:paraId="2F6AE97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岗位职责：包括但不限于负责全面组织项目施工</w:t>
      </w:r>
      <w:r>
        <w:rPr>
          <w:rFonts w:ascii="宋体" w:hAnsi="宋体" w:cs="Times New Roman"/>
          <w:sz w:val="28"/>
          <w:szCs w:val="28"/>
          <w:highlight w:val="none"/>
        </w:rPr>
        <w:fldChar w:fldCharType="begin"/>
      </w:r>
      <w:r>
        <w:rPr>
          <w:rFonts w:ascii="宋体" w:hAnsi="宋体" w:cs="Times New Roman"/>
          <w:sz w:val="28"/>
          <w:szCs w:val="28"/>
          <w:highlight w:val="none"/>
        </w:rPr>
        <w:instrText xml:space="preserve"> HYPERLINK "https://www.guoxuemap.com/zhize.html" \t "http://www.guoxuemap.com/_blank" </w:instrText>
      </w:r>
      <w:r>
        <w:rPr>
          <w:rFonts w:ascii="宋体" w:hAnsi="宋体" w:cs="Times New Roman"/>
          <w:sz w:val="28"/>
          <w:szCs w:val="28"/>
          <w:highlight w:val="none"/>
        </w:rPr>
        <w:fldChar w:fldCharType="separate"/>
      </w:r>
      <w:r>
        <w:rPr>
          <w:rFonts w:ascii="宋体" w:hAnsi="宋体" w:cs="Times New Roman"/>
          <w:sz w:val="28"/>
          <w:szCs w:val="28"/>
          <w:highlight w:val="none"/>
        </w:rPr>
        <w:t>工作</w:t>
      </w:r>
      <w:r>
        <w:rPr>
          <w:rFonts w:ascii="宋体" w:hAnsi="宋体" w:cs="Times New Roman"/>
          <w:sz w:val="28"/>
          <w:szCs w:val="28"/>
          <w:highlight w:val="none"/>
        </w:rPr>
        <w:fldChar w:fldCharType="end"/>
      </w:r>
      <w:r>
        <w:rPr>
          <w:rFonts w:ascii="宋体" w:hAnsi="宋体" w:cs="Times New Roman"/>
          <w:sz w:val="28"/>
          <w:szCs w:val="28"/>
          <w:highlight w:val="none"/>
        </w:rPr>
        <w:t>，负责项目的质量、工期、成本、安全和生产价值的完成；负责实施安全责任制度，实现安全文明要求和目标；负责实现项目经济和技术指标；负责协调项目内部和外部的业务关系。</w:t>
      </w:r>
    </w:p>
    <w:p w14:paraId="0007089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技术负责人姓名：</w:t>
      </w:r>
      <w:r>
        <w:rPr>
          <w:rFonts w:ascii="宋体" w:hAnsi="宋体" w:cs="Times New Roman"/>
          <w:sz w:val="28"/>
          <w:szCs w:val="28"/>
          <w:highlight w:val="none"/>
          <w:u w:val="single"/>
        </w:rPr>
        <w:t xml:space="preserve"> </w:t>
      </w:r>
      <w:r>
        <w:rPr>
          <w:rFonts w:hint="eastAsia" w:ascii="宋体" w:hAnsi="宋体" w:cs="Times New Roman"/>
          <w:sz w:val="28"/>
          <w:szCs w:val="28"/>
          <w:highlight w:val="none"/>
          <w:u w:val="single"/>
          <w:lang w:val="en-US" w:eastAsia="zh-CN"/>
        </w:rPr>
        <w:t xml:space="preserve">   </w:t>
      </w:r>
      <w:r>
        <w:rPr>
          <w:rFonts w:ascii="宋体" w:hAnsi="宋体" w:cs="Times New Roman"/>
          <w:sz w:val="28"/>
          <w:szCs w:val="28"/>
          <w:highlight w:val="none"/>
          <w:u w:val="single"/>
        </w:rPr>
        <w:t xml:space="preserve"> </w:t>
      </w:r>
      <w:r>
        <w:rPr>
          <w:rFonts w:hint="eastAsia" w:ascii="宋体" w:hAnsi="宋体" w:cs="Times New Roman"/>
          <w:sz w:val="28"/>
          <w:szCs w:val="28"/>
          <w:highlight w:val="none"/>
        </w:rPr>
        <w:t>，联系方式：</w:t>
      </w:r>
      <w:r>
        <w:rPr>
          <w:rFonts w:hint="eastAsia" w:ascii="宋体" w:hAnsi="宋体" w:cs="Times New Roman"/>
          <w:sz w:val="28"/>
          <w:szCs w:val="28"/>
          <w:highlight w:val="none"/>
          <w:u w:val="single"/>
        </w:rPr>
        <w:t xml:space="preserve"> </w:t>
      </w:r>
      <w:r>
        <w:rPr>
          <w:rFonts w:hint="eastAsia" w:ascii="宋体" w:hAnsi="宋体" w:cs="Times New Roman"/>
          <w:sz w:val="28"/>
          <w:szCs w:val="28"/>
          <w:highlight w:val="none"/>
          <w:u w:val="single"/>
          <w:lang w:val="en-US" w:eastAsia="zh-CN"/>
        </w:rPr>
        <w:t xml:space="preserve">          </w:t>
      </w:r>
      <w:r>
        <w:rPr>
          <w:rFonts w:hint="eastAsia" w:ascii="宋体" w:hAnsi="宋体" w:cs="Times New Roman"/>
          <w:sz w:val="28"/>
          <w:szCs w:val="28"/>
          <w:highlight w:val="none"/>
        </w:rPr>
        <w:t>。</w:t>
      </w:r>
      <w:r>
        <w:rPr>
          <w:rFonts w:ascii="宋体" w:hAnsi="宋体" w:cs="Times New Roman"/>
          <w:sz w:val="28"/>
          <w:szCs w:val="28"/>
          <w:highlight w:val="none"/>
        </w:rPr>
        <w:t xml:space="preserve">      </w:t>
      </w:r>
      <w:r>
        <w:rPr>
          <w:rFonts w:ascii="宋体" w:hAnsi="宋体" w:cs="Times New Roman"/>
          <w:sz w:val="28"/>
          <w:szCs w:val="28"/>
          <w:highlight w:val="none"/>
        </w:rPr>
        <w:tab/>
      </w:r>
      <w:r>
        <w:rPr>
          <w:rFonts w:ascii="宋体" w:hAnsi="宋体" w:cs="Times New Roman"/>
          <w:sz w:val="28"/>
          <w:szCs w:val="28"/>
          <w:highlight w:val="none"/>
        </w:rPr>
        <w:t xml:space="preserve">           </w:t>
      </w:r>
    </w:p>
    <w:p w14:paraId="27C2D6E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岗位职责：包括但不限于负责编制施工方案，并对各工种进行技术交底；负责配合项目经理解决现场各项问题；负责收集整理技术资料并报验。</w:t>
      </w:r>
    </w:p>
    <w:p w14:paraId="58FF53E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lang w:val="zh-TW"/>
        </w:rPr>
        <w:t>安全负责人</w:t>
      </w:r>
      <w:r>
        <w:rPr>
          <w:rFonts w:ascii="宋体" w:hAnsi="宋体" w:cs="Times New Roman"/>
          <w:sz w:val="28"/>
          <w:szCs w:val="28"/>
          <w:highlight w:val="none"/>
        </w:rPr>
        <w:t>姓名：</w:t>
      </w:r>
      <w:r>
        <w:rPr>
          <w:rFonts w:ascii="宋体" w:hAnsi="宋体" w:cs="Times New Roman"/>
          <w:sz w:val="28"/>
          <w:szCs w:val="28"/>
          <w:highlight w:val="none"/>
          <w:u w:val="single"/>
        </w:rPr>
        <w:t xml:space="preserve"> </w:t>
      </w:r>
      <w:r>
        <w:rPr>
          <w:rFonts w:hint="eastAsia" w:ascii="宋体" w:hAnsi="宋体" w:cs="Times New Roman"/>
          <w:color w:val="auto"/>
          <w:sz w:val="28"/>
          <w:szCs w:val="28"/>
          <w:highlight w:val="none"/>
          <w:u w:val="single"/>
          <w:lang w:val="en-US" w:eastAsia="zh-CN"/>
        </w:rPr>
        <w:t xml:space="preserve">   </w:t>
      </w:r>
      <w:r>
        <w:rPr>
          <w:rFonts w:ascii="宋体" w:hAnsi="宋体" w:cs="Times New Roman"/>
          <w:sz w:val="28"/>
          <w:szCs w:val="28"/>
          <w:highlight w:val="none"/>
          <w:u w:val="single"/>
        </w:rPr>
        <w:t xml:space="preserve"> </w:t>
      </w:r>
      <w:r>
        <w:rPr>
          <w:rFonts w:hint="eastAsia" w:ascii="宋体" w:hAnsi="宋体" w:cs="Times New Roman"/>
          <w:sz w:val="28"/>
          <w:szCs w:val="28"/>
          <w:highlight w:val="none"/>
        </w:rPr>
        <w:t>，联系方式：</w:t>
      </w:r>
      <w:r>
        <w:rPr>
          <w:rFonts w:hint="eastAsia" w:ascii="宋体" w:hAnsi="宋体" w:cs="Times New Roman"/>
          <w:sz w:val="28"/>
          <w:szCs w:val="28"/>
          <w:highlight w:val="none"/>
          <w:u w:val="single"/>
        </w:rPr>
        <w:t xml:space="preserve"> </w:t>
      </w:r>
      <w:r>
        <w:rPr>
          <w:rFonts w:hint="eastAsia" w:ascii="宋体" w:hAnsi="宋体" w:cs="Times New Roman"/>
          <w:sz w:val="28"/>
          <w:szCs w:val="28"/>
          <w:highlight w:val="none"/>
          <w:u w:val="single"/>
          <w:lang w:val="en-US" w:eastAsia="zh-CN"/>
        </w:rPr>
        <w:t xml:space="preserve">           </w:t>
      </w:r>
      <w:r>
        <w:rPr>
          <w:rFonts w:hint="eastAsia" w:ascii="宋体" w:hAnsi="宋体" w:cs="Times New Roman"/>
          <w:sz w:val="28"/>
          <w:szCs w:val="28"/>
          <w:highlight w:val="none"/>
        </w:rPr>
        <w:t>。</w:t>
      </w:r>
      <w:r>
        <w:rPr>
          <w:rFonts w:ascii="宋体" w:hAnsi="宋体" w:cs="Times New Roman"/>
          <w:sz w:val="28"/>
          <w:szCs w:val="28"/>
          <w:highlight w:val="none"/>
        </w:rPr>
        <w:t xml:space="preserve">     </w:t>
      </w:r>
    </w:p>
    <w:p w14:paraId="022B15A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lang w:val="zh-TW"/>
        </w:rPr>
        <w:t>岗位职责：包括但不限于负责贯彻落实安全生产责任制度和操作规程，确保安全生产费用的有效使用，负责施工现场安全和隐患排查，定期开展安全生产检查，召开安全生产例会，并对各工种进行安全生产教育，负责检查特种作业人员的职业资格；发生事故后，负责配合项目经理组织抢救，保护现场，参加事故调查。</w:t>
      </w:r>
    </w:p>
    <w:p w14:paraId="73F67F6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乙方项目经理和现场技术负责人是乙方常驻工地的负责人，按合同规定的乙方义务、责任和权利履行其职责。乙方项目经理应按本合同的规定和甲方的指示负责组织本工程的圆满实施。在情况紧急且无法与甲方联系时，可</w:t>
      </w:r>
      <w:r>
        <w:rPr>
          <w:rFonts w:hint="eastAsia" w:ascii="宋体" w:hAnsi="宋体" w:cs="Times New Roman"/>
          <w:sz w:val="28"/>
          <w:szCs w:val="28"/>
          <w:highlight w:val="none"/>
        </w:rPr>
        <w:t>首先</w:t>
      </w:r>
      <w:r>
        <w:rPr>
          <w:rFonts w:ascii="宋体" w:hAnsi="宋体" w:cs="Times New Roman"/>
          <w:sz w:val="28"/>
          <w:szCs w:val="28"/>
          <w:highlight w:val="none"/>
        </w:rPr>
        <w:t>采取保证工程和人员生命财产安全的紧急措施，并在决定采取措施后24小时内向甲方提交报告。</w:t>
      </w:r>
      <w:r>
        <w:rPr>
          <w:rFonts w:ascii="宋体" w:hAnsi="宋体" w:cs="Times New Roman"/>
          <w:sz w:val="28"/>
          <w:szCs w:val="28"/>
          <w:highlight w:val="none"/>
          <w:lang w:val="zh-CN"/>
        </w:rPr>
        <w:t>乙方为实施本合同发出的一切函件均应盖有乙方</w:t>
      </w:r>
      <w:r>
        <w:rPr>
          <w:rFonts w:hint="eastAsia" w:ascii="宋体" w:hAnsi="宋体" w:cs="Times New Roman"/>
          <w:sz w:val="28"/>
          <w:szCs w:val="28"/>
          <w:highlight w:val="none"/>
          <w:lang w:val="zh-CN"/>
        </w:rPr>
        <w:t>单位</w:t>
      </w:r>
      <w:r>
        <w:rPr>
          <w:rFonts w:ascii="宋体" w:hAnsi="宋体" w:cs="Times New Roman"/>
          <w:sz w:val="28"/>
          <w:szCs w:val="28"/>
          <w:highlight w:val="none"/>
          <w:lang w:val="zh-CN"/>
        </w:rPr>
        <w:t>公章和乙方项目经理签名。</w:t>
      </w:r>
    </w:p>
    <w:p w14:paraId="6F5527B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lang w:val="zh-CN"/>
        </w:rPr>
        <w:t>(2) 乙方指派的项目经理</w:t>
      </w:r>
      <w:r>
        <w:rPr>
          <w:rFonts w:hint="eastAsia" w:ascii="宋体" w:hAnsi="宋体" w:cs="Times New Roman"/>
          <w:sz w:val="28"/>
          <w:szCs w:val="28"/>
          <w:highlight w:val="none"/>
          <w:lang w:val="zh-CN"/>
        </w:rPr>
        <w:t>、</w:t>
      </w:r>
      <w:r>
        <w:rPr>
          <w:rFonts w:ascii="宋体" w:hAnsi="宋体" w:cs="Times New Roman"/>
          <w:sz w:val="28"/>
          <w:szCs w:val="28"/>
          <w:highlight w:val="none"/>
          <w:lang w:val="zh-CN"/>
        </w:rPr>
        <w:t>技术负责人</w:t>
      </w:r>
      <w:r>
        <w:rPr>
          <w:rFonts w:hint="eastAsia" w:ascii="宋体" w:hAnsi="宋体" w:cs="Times New Roman"/>
          <w:sz w:val="28"/>
          <w:szCs w:val="28"/>
          <w:highlight w:val="none"/>
          <w:lang w:val="zh-CN"/>
        </w:rPr>
        <w:t>和安全负责人</w:t>
      </w:r>
      <w:r>
        <w:rPr>
          <w:rFonts w:ascii="宋体" w:hAnsi="宋体" w:cs="Times New Roman"/>
          <w:sz w:val="28"/>
          <w:szCs w:val="28"/>
          <w:highlight w:val="none"/>
          <w:lang w:val="zh-CN"/>
        </w:rPr>
        <w:t>应与</w:t>
      </w:r>
      <w:r>
        <w:rPr>
          <w:rFonts w:hint="eastAsia" w:ascii="宋体" w:hAnsi="宋体" w:cs="Times New Roman"/>
          <w:sz w:val="28"/>
          <w:szCs w:val="28"/>
          <w:highlight w:val="none"/>
        </w:rPr>
        <w:t>比选申请</w:t>
      </w:r>
      <w:r>
        <w:rPr>
          <w:rFonts w:ascii="宋体" w:hAnsi="宋体" w:cs="Times New Roman"/>
          <w:sz w:val="28"/>
          <w:szCs w:val="28"/>
          <w:highlight w:val="none"/>
          <w:lang w:val="zh-CN"/>
        </w:rPr>
        <w:t>文件一致。项目经理</w:t>
      </w:r>
      <w:r>
        <w:rPr>
          <w:rFonts w:hint="eastAsia" w:ascii="宋体" w:hAnsi="宋体" w:cs="Times New Roman"/>
          <w:sz w:val="28"/>
          <w:szCs w:val="28"/>
          <w:highlight w:val="none"/>
          <w:lang w:val="zh-CN"/>
        </w:rPr>
        <w:t>、</w:t>
      </w:r>
      <w:r>
        <w:rPr>
          <w:rFonts w:ascii="宋体" w:hAnsi="宋体" w:cs="Times New Roman"/>
          <w:sz w:val="28"/>
          <w:szCs w:val="28"/>
          <w:highlight w:val="none"/>
          <w:lang w:val="zh-CN"/>
        </w:rPr>
        <w:t>技术负责人</w:t>
      </w:r>
      <w:r>
        <w:rPr>
          <w:rFonts w:hint="eastAsia" w:ascii="宋体" w:hAnsi="宋体" w:cs="Times New Roman"/>
          <w:sz w:val="28"/>
          <w:szCs w:val="28"/>
          <w:highlight w:val="none"/>
          <w:lang w:val="zh-CN"/>
        </w:rPr>
        <w:t>和安全负责人</w:t>
      </w:r>
      <w:r>
        <w:rPr>
          <w:rFonts w:ascii="宋体" w:hAnsi="宋体" w:cs="Times New Roman"/>
          <w:sz w:val="28"/>
          <w:szCs w:val="28"/>
          <w:highlight w:val="none"/>
          <w:lang w:val="zh-CN"/>
        </w:rPr>
        <w:t>易人，应事先征得甲方</w:t>
      </w:r>
      <w:r>
        <w:rPr>
          <w:rFonts w:ascii="宋体" w:hAnsi="宋体" w:cs="Times New Roman"/>
          <w:sz w:val="28"/>
          <w:szCs w:val="28"/>
          <w:highlight w:val="none"/>
        </w:rPr>
        <w:t>书面</w:t>
      </w:r>
      <w:r>
        <w:rPr>
          <w:rFonts w:ascii="宋体" w:hAnsi="宋体" w:cs="Times New Roman"/>
          <w:sz w:val="28"/>
          <w:szCs w:val="28"/>
          <w:highlight w:val="none"/>
          <w:lang w:val="zh-CN"/>
        </w:rPr>
        <w:t>同意。项目经理及技术负责人离开工地两天及以上应事先征得甲方</w:t>
      </w:r>
      <w:r>
        <w:rPr>
          <w:rFonts w:ascii="宋体" w:hAnsi="宋体" w:cs="Times New Roman"/>
          <w:sz w:val="28"/>
          <w:szCs w:val="28"/>
          <w:highlight w:val="none"/>
        </w:rPr>
        <w:t>书面</w:t>
      </w:r>
      <w:r>
        <w:rPr>
          <w:rFonts w:ascii="宋体" w:hAnsi="宋体" w:cs="Times New Roman"/>
          <w:sz w:val="28"/>
          <w:szCs w:val="28"/>
          <w:highlight w:val="none"/>
          <w:lang w:val="zh-CN"/>
        </w:rPr>
        <w:t>同意，并委派代表代行其职，并通知</w:t>
      </w:r>
      <w:r>
        <w:rPr>
          <w:rFonts w:ascii="宋体" w:hAnsi="宋体" w:cs="Times New Roman"/>
          <w:sz w:val="28"/>
          <w:szCs w:val="28"/>
          <w:highlight w:val="none"/>
        </w:rPr>
        <w:t>甲方</w:t>
      </w:r>
      <w:r>
        <w:rPr>
          <w:rFonts w:ascii="宋体" w:hAnsi="宋体" w:cs="Times New Roman"/>
          <w:sz w:val="28"/>
          <w:szCs w:val="28"/>
          <w:highlight w:val="none"/>
          <w:lang w:val="zh-CN"/>
        </w:rPr>
        <w:t>。</w:t>
      </w:r>
    </w:p>
    <w:p w14:paraId="29F233BC">
      <w:pPr>
        <w:spacing w:line="600" w:lineRule="exact"/>
        <w:ind w:firstLine="560" w:firstLineChars="200"/>
        <w:rPr>
          <w:rFonts w:ascii="宋体" w:hAnsi="宋体" w:cs="Times New Roman"/>
          <w:sz w:val="28"/>
          <w:szCs w:val="28"/>
          <w:highlight w:val="none"/>
          <w:lang w:val="zh-CN"/>
        </w:rPr>
      </w:pPr>
      <w:r>
        <w:rPr>
          <w:rFonts w:ascii="宋体" w:hAnsi="宋体" w:cs="Times New Roman"/>
          <w:sz w:val="28"/>
          <w:szCs w:val="28"/>
          <w:highlight w:val="none"/>
        </w:rPr>
        <w:t>（3）</w:t>
      </w:r>
      <w:r>
        <w:rPr>
          <w:rFonts w:ascii="宋体" w:hAnsi="宋体" w:cs="Times New Roman"/>
          <w:sz w:val="28"/>
          <w:szCs w:val="28"/>
          <w:highlight w:val="none"/>
          <w:lang w:val="zh-CN"/>
        </w:rPr>
        <w:t>乙方提出更换项目经理或技术负责人均须</w:t>
      </w:r>
      <w:r>
        <w:rPr>
          <w:rFonts w:hint="eastAsia" w:ascii="宋体" w:hAnsi="宋体" w:cs="Times New Roman"/>
          <w:sz w:val="28"/>
          <w:szCs w:val="28"/>
          <w:highlight w:val="none"/>
        </w:rPr>
        <w:t>向乙方提出书面申请，并</w:t>
      </w:r>
      <w:r>
        <w:rPr>
          <w:rFonts w:ascii="宋体" w:hAnsi="宋体" w:cs="Times New Roman"/>
          <w:sz w:val="28"/>
          <w:szCs w:val="28"/>
          <w:highlight w:val="none"/>
          <w:lang w:val="zh-CN"/>
        </w:rPr>
        <w:t>经甲方</w:t>
      </w:r>
      <w:r>
        <w:rPr>
          <w:rFonts w:ascii="宋体" w:hAnsi="宋体" w:cs="Times New Roman"/>
          <w:sz w:val="28"/>
          <w:szCs w:val="28"/>
          <w:highlight w:val="none"/>
        </w:rPr>
        <w:t>书面</w:t>
      </w:r>
      <w:r>
        <w:rPr>
          <w:rFonts w:ascii="宋体" w:hAnsi="宋体" w:cs="Times New Roman"/>
          <w:sz w:val="28"/>
          <w:szCs w:val="28"/>
          <w:highlight w:val="none"/>
          <w:lang w:val="zh-CN"/>
        </w:rPr>
        <w:t>同意</w:t>
      </w:r>
      <w:r>
        <w:rPr>
          <w:rFonts w:hint="eastAsia" w:ascii="宋体" w:hAnsi="宋体" w:cs="Times New Roman"/>
          <w:sz w:val="28"/>
          <w:szCs w:val="28"/>
          <w:highlight w:val="none"/>
        </w:rPr>
        <w:t>方可更换</w:t>
      </w:r>
      <w:r>
        <w:rPr>
          <w:rFonts w:ascii="宋体" w:hAnsi="宋体" w:cs="Times New Roman"/>
          <w:sz w:val="28"/>
          <w:szCs w:val="28"/>
          <w:highlight w:val="none"/>
          <w:lang w:val="zh-CN"/>
        </w:rPr>
        <w:t>。若出现项目经理或技术负责人未经批准离开工地2天，甲方将按每发现一人次处5000元对乙方扣减违约金。若乙方未经甲方同意，更换了项目经理或技术负责人，甲方将按更换1人次处</w:t>
      </w:r>
      <w:r>
        <w:rPr>
          <w:rFonts w:hint="eastAsia" w:ascii="宋体" w:hAnsi="宋体" w:cs="Times New Roman"/>
          <w:sz w:val="28"/>
          <w:szCs w:val="28"/>
          <w:highlight w:val="none"/>
        </w:rPr>
        <w:t>10</w:t>
      </w:r>
      <w:r>
        <w:rPr>
          <w:rFonts w:ascii="宋体" w:hAnsi="宋体" w:cs="Times New Roman"/>
          <w:sz w:val="28"/>
          <w:szCs w:val="28"/>
          <w:highlight w:val="none"/>
          <w:lang w:val="zh-CN"/>
        </w:rPr>
        <w:t>000元对乙方扣减违约金。</w:t>
      </w:r>
    </w:p>
    <w:p w14:paraId="18C0264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8.2.16 乙方人员的管理</w:t>
      </w:r>
    </w:p>
    <w:p w14:paraId="2403284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8.2.16.1 乙方人员的安排</w:t>
      </w:r>
    </w:p>
    <w:p w14:paraId="7A4A07B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除合同另有规定外，乙方应自行安排和调遣其本单位和从本工程所在地或其它地方雇用的所有职员，并为上述人员提供必要的工作和生活条件及负责支付酬金。</w:t>
      </w:r>
    </w:p>
    <w:p w14:paraId="7707549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乙方安排在工地的主要管理人员和专业技术骨干应相对稳定，上述人员的调动应报甲方书面同意。</w:t>
      </w:r>
    </w:p>
    <w:p w14:paraId="0A3594C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8.2.16.2 提交管理机构和人员情况报告</w:t>
      </w:r>
    </w:p>
    <w:p w14:paraId="18BD27C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在签订合同后4天内向甲方提交乙方在工地的管理机构以及人员安排的报告，其内容应包括管理机构的设置、主要技术和管理人员资质以及各工种技术工人的配备状况。若甲方认为有必要时，乙方还应按规定的格式，定期向甲方提交工地人员变动情况的报告。</w:t>
      </w:r>
    </w:p>
    <w:p w14:paraId="71BBCCE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8.2.16.3 乙方人员的上岗资格</w:t>
      </w:r>
    </w:p>
    <w:p w14:paraId="2BC469E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技术岗位和特殊工种的工人均应持有通过国家或有关部门统一考试或考核的资格证明。乙方应在按第8.2.16.2款要求提交的人员情况报告中，说明乙方人员持有上岗资格证明的情况。甲方有权</w:t>
      </w:r>
      <w:r>
        <w:rPr>
          <w:rFonts w:hint="eastAsia" w:ascii="宋体" w:hAnsi="宋体" w:cs="Times New Roman"/>
          <w:sz w:val="28"/>
          <w:szCs w:val="28"/>
          <w:highlight w:val="none"/>
        </w:rPr>
        <w:t>不定期</w:t>
      </w:r>
      <w:r>
        <w:rPr>
          <w:rFonts w:ascii="宋体" w:hAnsi="宋体" w:cs="Times New Roman"/>
          <w:sz w:val="28"/>
          <w:szCs w:val="28"/>
          <w:highlight w:val="none"/>
        </w:rPr>
        <w:t>检查乙方人员的上岗资格证明。</w:t>
      </w:r>
    </w:p>
    <w:p w14:paraId="6A906B1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8.2.17 保障乙方人员的合法权益</w:t>
      </w:r>
    </w:p>
    <w:p w14:paraId="05CC678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乙方应遵守有关</w:t>
      </w:r>
      <w:r>
        <w:rPr>
          <w:rFonts w:hint="eastAsia" w:ascii="宋体" w:hAnsi="宋体" w:cs="Times New Roman"/>
          <w:sz w:val="28"/>
          <w:szCs w:val="28"/>
          <w:highlight w:val="none"/>
        </w:rPr>
        <w:t>法律法规</w:t>
      </w:r>
      <w:r>
        <w:rPr>
          <w:rFonts w:ascii="宋体" w:hAnsi="宋体" w:cs="Times New Roman"/>
          <w:sz w:val="28"/>
          <w:szCs w:val="28"/>
          <w:highlight w:val="none"/>
        </w:rPr>
        <w:t>和规章的规定，充分保障乙方人员的合法权益。乙方应做到（</w:t>
      </w:r>
      <w:r>
        <w:rPr>
          <w:rFonts w:hint="eastAsia" w:ascii="宋体" w:hAnsi="宋体" w:cs="Times New Roman"/>
          <w:sz w:val="28"/>
          <w:szCs w:val="28"/>
          <w:highlight w:val="none"/>
        </w:rPr>
        <w:t>包括</w:t>
      </w:r>
      <w:r>
        <w:rPr>
          <w:rFonts w:ascii="宋体" w:hAnsi="宋体" w:cs="Times New Roman"/>
          <w:sz w:val="28"/>
          <w:szCs w:val="28"/>
          <w:highlight w:val="none"/>
        </w:rPr>
        <w:t>但不限于）：</w:t>
      </w:r>
    </w:p>
    <w:p w14:paraId="1C6F4EA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w:t>
      </w:r>
      <w:r>
        <w:rPr>
          <w:rFonts w:hint="eastAsia" w:ascii="宋体" w:hAnsi="宋体" w:cs="Times New Roman"/>
          <w:sz w:val="28"/>
          <w:szCs w:val="28"/>
          <w:highlight w:val="none"/>
        </w:rPr>
        <w:t>1</w:t>
      </w:r>
      <w:r>
        <w:rPr>
          <w:rFonts w:ascii="宋体" w:hAnsi="宋体" w:cs="Times New Roman"/>
          <w:sz w:val="28"/>
          <w:szCs w:val="28"/>
          <w:highlight w:val="none"/>
        </w:rPr>
        <w:t>) 保证其人员有享受休息和休假的权利，乙方应按劳动法的规定安排其人员的工作时间。因工程施工的特殊需要占用休假日或延长工作时间，不应超过规定的限度，并应按规定给予补休或付酬。</w:t>
      </w:r>
    </w:p>
    <w:p w14:paraId="39B4A59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为其人员提供必要的食宿条件以及符合环境保护和卫生要求的生活环境，配备必要的伤病预防、治疗和急救的医务人员和医疗设施。</w:t>
      </w:r>
    </w:p>
    <w:p w14:paraId="7AF5ED4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按有关劳动保护的规定采取有效的防止粉尘、降低噪声、控制有害气体和保障高温、高寒、高空作业安全等措施。若其人员在施工中受到伤害，乙方应有责任立即采取有效措施进行抢救和治疗。</w:t>
      </w:r>
    </w:p>
    <w:p w14:paraId="3467205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(4) </w:t>
      </w:r>
      <w:r>
        <w:rPr>
          <w:rFonts w:hint="eastAsia" w:ascii="宋体" w:hAnsi="宋体" w:cs="Times New Roman"/>
          <w:sz w:val="28"/>
          <w:szCs w:val="28"/>
          <w:highlight w:val="none"/>
        </w:rPr>
        <w:t>乙方</w:t>
      </w:r>
      <w:r>
        <w:rPr>
          <w:rFonts w:ascii="宋体" w:hAnsi="宋体" w:cs="Times New Roman"/>
          <w:sz w:val="28"/>
          <w:szCs w:val="28"/>
          <w:highlight w:val="none"/>
        </w:rPr>
        <w:t>应按照劳动法和劳动合同法的相关规定与为其管辖的所有聘(雇)用劳动者签订劳动合同，缴纳社会保险，按国家规定提供劳动保护，明确劳动报酬等内容</w:t>
      </w:r>
      <w:r>
        <w:rPr>
          <w:rFonts w:hint="eastAsia" w:ascii="宋体" w:hAnsi="宋体" w:cs="Times New Roman"/>
          <w:sz w:val="28"/>
          <w:szCs w:val="28"/>
          <w:highlight w:val="none"/>
        </w:rPr>
        <w:t>。</w:t>
      </w:r>
    </w:p>
    <w:p w14:paraId="7A5E159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 负责处理并赔偿其所雇人员遭受的及其所雇人员给第三人造成的人身损害及财产损失，因此给甲方造成损失的，乙方应予赔偿</w:t>
      </w:r>
      <w:r>
        <w:rPr>
          <w:rFonts w:hint="eastAsia" w:ascii="宋体" w:hAnsi="宋体" w:cs="Times New Roman"/>
          <w:sz w:val="28"/>
          <w:szCs w:val="28"/>
          <w:highlight w:val="none"/>
        </w:rPr>
        <w:t>甲方因此造成的经济损失</w:t>
      </w:r>
      <w:r>
        <w:rPr>
          <w:rFonts w:ascii="宋体" w:hAnsi="宋体" w:cs="Times New Roman"/>
          <w:sz w:val="28"/>
          <w:szCs w:val="28"/>
          <w:highlight w:val="none"/>
        </w:rPr>
        <w:t>。</w:t>
      </w:r>
    </w:p>
    <w:p w14:paraId="5671C29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(6) </w:t>
      </w:r>
      <w:r>
        <w:rPr>
          <w:rFonts w:hint="eastAsia" w:ascii="宋体" w:hAnsi="宋体" w:cs="Times New Roman"/>
          <w:sz w:val="28"/>
          <w:szCs w:val="28"/>
          <w:highlight w:val="none"/>
        </w:rPr>
        <w:t>乙方</w:t>
      </w:r>
      <w:r>
        <w:rPr>
          <w:rFonts w:ascii="宋体" w:hAnsi="宋体" w:cs="Times New Roman"/>
          <w:sz w:val="28"/>
          <w:szCs w:val="28"/>
          <w:highlight w:val="none"/>
        </w:rPr>
        <w:t>取得合同</w:t>
      </w:r>
      <w:r>
        <w:rPr>
          <w:rFonts w:hint="eastAsia" w:ascii="宋体" w:hAnsi="宋体" w:cs="Times New Roman"/>
          <w:sz w:val="28"/>
          <w:szCs w:val="28"/>
          <w:highlight w:val="none"/>
        </w:rPr>
        <w:t>价</w:t>
      </w:r>
      <w:r>
        <w:rPr>
          <w:rFonts w:ascii="宋体" w:hAnsi="宋体" w:cs="Times New Roman"/>
          <w:sz w:val="28"/>
          <w:szCs w:val="28"/>
          <w:highlight w:val="none"/>
        </w:rPr>
        <w:t>款时，优先、定期、直接向农民工本人支付工资，不得将农民工工资拨付给不具备用工主体资格的组织或个人代发。乙方应按时支付所雇佣民工的工资，若乙方拖欠所雇佣民工的工资，由此带来的法律风险及经济损失由乙方承担，甲方有权从应付工程款中直接扣除并代为支付民工工资。</w:t>
      </w:r>
    </w:p>
    <w:p w14:paraId="5900C6C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8.2.18 交通运输</w:t>
      </w:r>
    </w:p>
    <w:p w14:paraId="060F1A3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8.2.18.1 场内施工道路</w:t>
      </w:r>
    </w:p>
    <w:p w14:paraId="6BFDFE0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甲方应提交给乙方使用的道路、交通设施及已有设施，应由乙方负责其在合同实施期内的维修、养护和交通管理工作，并承担一切费用。</w:t>
      </w:r>
    </w:p>
    <w:p w14:paraId="21886E6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8.2.18.2 场外公共交通</w:t>
      </w:r>
    </w:p>
    <w:p w14:paraId="20B7453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乙方的车辆外出行驶所需的场外公共道路的通行费、养路费、进场道路修补费和税款等一切费用由乙方承担。</w:t>
      </w:r>
    </w:p>
    <w:p w14:paraId="25AD5BE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乙方车辆应服从当地交通部门的管理，严格按照道路和桥梁的限制荷重安全行驶，并服从交通监管部门的检查和检验。</w:t>
      </w:r>
    </w:p>
    <w:p w14:paraId="5D7B18F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8.2.18.3 超大件和超重件的运输</w:t>
      </w:r>
    </w:p>
    <w:p w14:paraId="1A20347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由乙方负责运输的物件中；若遇有超大件或超重件时，应由乙方负责向交通管理部门办理申请手续。运输超大件或超重件所需进行的道路和桥梁临时加固改造费用和其它有关费用，均由乙方承担。</w:t>
      </w:r>
    </w:p>
    <w:p w14:paraId="43FB95E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8.2.18.4 道路和桥梁的损坏责任</w:t>
      </w:r>
    </w:p>
    <w:p w14:paraId="2EB81D2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乙方应为自己进行的物品运输造成工地内外公共道路和桥梁的损坏负全部责任，并负责支付修复损坏的全部费用和可能引起的索赔。</w:t>
      </w:r>
    </w:p>
    <w:p w14:paraId="14DD9BC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8.2.18.5 水路运输</w:t>
      </w:r>
    </w:p>
    <w:p w14:paraId="70E646E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本条上述各款的内容亦适用于水路运输，其中“道路”一词的涵义应包括水闸、码头、堤防或与水路有关的其它结构物；“车辆”一词的涵义应包括船舶，本条各款规定仍有效。</w:t>
      </w:r>
    </w:p>
    <w:p w14:paraId="6243361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8.2.19 </w:t>
      </w:r>
      <w:r>
        <w:rPr>
          <w:rFonts w:hint="eastAsia" w:ascii="宋体" w:hAnsi="宋体" w:cs="Times New Roman"/>
          <w:sz w:val="28"/>
          <w:szCs w:val="28"/>
          <w:highlight w:val="none"/>
        </w:rPr>
        <w:t>乙方</w:t>
      </w:r>
      <w:r>
        <w:rPr>
          <w:rFonts w:ascii="宋体" w:hAnsi="宋体" w:cs="Times New Roman"/>
          <w:sz w:val="28"/>
          <w:szCs w:val="28"/>
          <w:highlight w:val="none"/>
        </w:rPr>
        <w:t>按照施工图与说明书进行施工，确保工程质量，按合同约定的时间完工并交付使用。</w:t>
      </w:r>
    </w:p>
    <w:p w14:paraId="306B71A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8.2.20 </w:t>
      </w:r>
      <w:r>
        <w:rPr>
          <w:rFonts w:hint="eastAsia" w:ascii="宋体" w:hAnsi="宋体" w:cs="Times New Roman"/>
          <w:sz w:val="28"/>
          <w:szCs w:val="28"/>
          <w:highlight w:val="none"/>
        </w:rPr>
        <w:t>乙方</w:t>
      </w:r>
      <w:r>
        <w:rPr>
          <w:rFonts w:ascii="宋体" w:hAnsi="宋体" w:cs="Times New Roman"/>
          <w:sz w:val="28"/>
          <w:szCs w:val="28"/>
          <w:highlight w:val="none"/>
        </w:rPr>
        <w:t>遵守政府有关部门对施工场地交通、施工噪音及环境保护和安全生产等的管理规定，按规定办理有关手续，否则承担因自身原因造成的罚款及其它处罚。</w:t>
      </w:r>
    </w:p>
    <w:p w14:paraId="6882A9A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8.2.21 </w:t>
      </w:r>
      <w:r>
        <w:rPr>
          <w:rFonts w:hint="eastAsia" w:ascii="宋体" w:hAnsi="宋体" w:cs="Times New Roman"/>
          <w:sz w:val="28"/>
          <w:szCs w:val="28"/>
          <w:highlight w:val="none"/>
        </w:rPr>
        <w:t>乙方</w:t>
      </w:r>
      <w:r>
        <w:rPr>
          <w:rFonts w:ascii="宋体" w:hAnsi="宋体" w:cs="Times New Roman"/>
          <w:sz w:val="28"/>
          <w:szCs w:val="28"/>
          <w:highlight w:val="none"/>
        </w:rPr>
        <w:t>对已完工及未完工的房屋、构筑物和安装设备，在交工前负责保管，并清理好场地。</w:t>
      </w:r>
    </w:p>
    <w:p w14:paraId="7AB9EA1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8.2.22 </w:t>
      </w:r>
      <w:r>
        <w:rPr>
          <w:rFonts w:hint="eastAsia" w:ascii="宋体" w:hAnsi="宋体" w:cs="Times New Roman"/>
          <w:sz w:val="28"/>
          <w:szCs w:val="28"/>
          <w:highlight w:val="none"/>
        </w:rPr>
        <w:t>乙方</w:t>
      </w:r>
      <w:r>
        <w:rPr>
          <w:rFonts w:ascii="宋体" w:hAnsi="宋体" w:cs="Times New Roman"/>
          <w:sz w:val="28"/>
          <w:szCs w:val="28"/>
          <w:highlight w:val="none"/>
        </w:rPr>
        <w:t>在提交竣工验收报告的同时提供竣工验收的相关技术资料，参加工程验收，在甲方验收合格后28日内办理竣工结算。</w:t>
      </w:r>
    </w:p>
    <w:p w14:paraId="6427EF7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8.2.23 </w:t>
      </w:r>
      <w:r>
        <w:rPr>
          <w:rFonts w:hint="eastAsia" w:ascii="宋体" w:hAnsi="宋体" w:cs="Times New Roman"/>
          <w:sz w:val="28"/>
          <w:szCs w:val="28"/>
          <w:highlight w:val="none"/>
        </w:rPr>
        <w:t>乙方</w:t>
      </w:r>
      <w:r>
        <w:rPr>
          <w:rFonts w:ascii="宋体" w:hAnsi="宋体" w:cs="Times New Roman"/>
          <w:sz w:val="28"/>
          <w:szCs w:val="28"/>
          <w:highlight w:val="none"/>
        </w:rPr>
        <w:t>在施工过程中如发生较大工程质量事故，应及时报告甲方和安全管理部门，经甲方、安全管理部门共同研究，明确责任，确定处理方案后方可实施。</w:t>
      </w:r>
    </w:p>
    <w:p w14:paraId="2E9DF0A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8.2.24 </w:t>
      </w:r>
      <w:r>
        <w:rPr>
          <w:rFonts w:hint="eastAsia" w:ascii="宋体" w:hAnsi="宋体" w:cs="Times New Roman"/>
          <w:sz w:val="28"/>
          <w:szCs w:val="28"/>
          <w:highlight w:val="none"/>
        </w:rPr>
        <w:t>乙方</w:t>
      </w:r>
      <w:r>
        <w:rPr>
          <w:rFonts w:ascii="宋体" w:hAnsi="宋体" w:cs="Times New Roman"/>
          <w:sz w:val="28"/>
          <w:szCs w:val="28"/>
          <w:highlight w:val="none"/>
        </w:rPr>
        <w:t>做好施工场地地下管线和邻近建筑物、构筑物等的保护工作，并承担相应的费用。</w:t>
      </w:r>
    </w:p>
    <w:p w14:paraId="636C960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8.2.25 乙方在施工过程中应遵守甲方的施工安全管理规定，并接受甲方安全管理部门的监督、检查及安全教育培训，若在施工过程中有违反施工安全管理规定的，甲方有权依照管理规定对乙方</w:t>
      </w:r>
      <w:r>
        <w:rPr>
          <w:rFonts w:ascii="宋体" w:hAnsi="宋体" w:cs="Times New Roman"/>
          <w:sz w:val="28"/>
          <w:szCs w:val="28"/>
          <w:highlight w:val="none"/>
          <w:lang w:val="zh-CN"/>
        </w:rPr>
        <w:t>扣减违约金</w:t>
      </w:r>
      <w:r>
        <w:rPr>
          <w:rFonts w:ascii="宋体" w:hAnsi="宋体" w:cs="Times New Roman"/>
          <w:sz w:val="28"/>
          <w:szCs w:val="28"/>
          <w:highlight w:val="none"/>
        </w:rPr>
        <w:t>。</w:t>
      </w:r>
    </w:p>
    <w:p w14:paraId="30F671E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8.2.26 乙方应该承担各分包单位的协调工作，并承担相关协调费用。各专业之间有交叉作业的，乙方应该组织协调甲方提前审核方案</w:t>
      </w:r>
      <w:r>
        <w:rPr>
          <w:rFonts w:hint="eastAsia" w:ascii="宋体" w:hAnsi="宋体" w:cs="Times New Roman"/>
          <w:sz w:val="28"/>
          <w:szCs w:val="28"/>
          <w:highlight w:val="none"/>
        </w:rPr>
        <w:t>。与本项目相关的作业，</w:t>
      </w:r>
      <w:r>
        <w:rPr>
          <w:rFonts w:ascii="宋体" w:hAnsi="宋体" w:cs="Times New Roman"/>
          <w:sz w:val="28"/>
          <w:szCs w:val="28"/>
          <w:highlight w:val="none"/>
        </w:rPr>
        <w:t>乙方或分包人不能以不属于承包范围为理由拒绝，工程结算时由乙方组织按相关规定自行内部结算。</w:t>
      </w:r>
    </w:p>
    <w:p w14:paraId="52F780A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8.2.27办理保险</w:t>
      </w:r>
    </w:p>
    <w:p w14:paraId="5C2238C2">
      <w:pPr>
        <w:spacing w:line="600" w:lineRule="exact"/>
        <w:ind w:firstLine="560" w:firstLineChars="200"/>
        <w:rPr>
          <w:highlight w:val="none"/>
        </w:rPr>
      </w:pPr>
      <w:r>
        <w:rPr>
          <w:rFonts w:hint="eastAsia" w:ascii="宋体" w:hAnsi="宋体" w:cs="Times New Roman"/>
          <w:sz w:val="28"/>
          <w:szCs w:val="28"/>
          <w:highlight w:val="none"/>
        </w:rPr>
        <w:t>乙方须为本项目</w:t>
      </w:r>
      <w:r>
        <w:rPr>
          <w:rFonts w:ascii="宋体" w:hAnsi="宋体" w:cs="Times New Roman"/>
          <w:sz w:val="28"/>
          <w:szCs w:val="28"/>
          <w:highlight w:val="none"/>
        </w:rPr>
        <w:t>投保工程一切险</w:t>
      </w:r>
      <w:r>
        <w:rPr>
          <w:rFonts w:hint="eastAsia" w:ascii="宋体" w:hAnsi="宋体" w:cs="Times New Roman"/>
          <w:sz w:val="28"/>
          <w:szCs w:val="28"/>
          <w:highlight w:val="none"/>
        </w:rPr>
        <w:t>和第三者责任险，</w:t>
      </w:r>
      <w:r>
        <w:rPr>
          <w:rFonts w:ascii="宋体" w:hAnsi="宋体" w:cs="Times New Roman"/>
          <w:sz w:val="28"/>
          <w:szCs w:val="28"/>
          <w:highlight w:val="none"/>
        </w:rPr>
        <w:t>保险的</w:t>
      </w:r>
      <w:r>
        <w:rPr>
          <w:rFonts w:ascii="宋体" w:hAnsi="宋体" w:cs="Times New Roman"/>
          <w:sz w:val="28"/>
          <w:szCs w:val="28"/>
          <w:highlight w:val="none"/>
          <w:lang w:bidi="ar"/>
        </w:rPr>
        <w:t>项目名称 必须与合同规定的项目名称一致，保险金额不低于合同总价，第三者责任险保额不低于100万元，保险期须包含整个项目周期。</w:t>
      </w:r>
      <w:r>
        <w:rPr>
          <w:rFonts w:hint="eastAsia" w:ascii="宋体" w:hAnsi="宋体" w:cs="Times New Roman"/>
          <w:sz w:val="28"/>
          <w:szCs w:val="28"/>
          <w:highlight w:val="none"/>
        </w:rPr>
        <w:t>并按国家相关规定投保工伤保险、意外险、设备险等，</w:t>
      </w:r>
      <w:r>
        <w:rPr>
          <w:rFonts w:ascii="宋体" w:hAnsi="宋体" w:cs="Times New Roman"/>
          <w:sz w:val="28"/>
          <w:szCs w:val="28"/>
          <w:highlight w:val="none"/>
        </w:rPr>
        <w:t>因投保产生的保险费和其他相关费用由</w:t>
      </w:r>
      <w:r>
        <w:rPr>
          <w:rFonts w:hint="eastAsia" w:ascii="宋体" w:hAnsi="宋体" w:cs="Times New Roman"/>
          <w:sz w:val="28"/>
          <w:szCs w:val="28"/>
          <w:highlight w:val="none"/>
        </w:rPr>
        <w:t>乙方</w:t>
      </w:r>
      <w:r>
        <w:rPr>
          <w:rFonts w:ascii="宋体" w:hAnsi="宋体" w:cs="Times New Roman"/>
          <w:sz w:val="28"/>
          <w:szCs w:val="28"/>
          <w:highlight w:val="none"/>
        </w:rPr>
        <w:t>承担。</w:t>
      </w:r>
    </w:p>
    <w:p w14:paraId="79F8CD1D">
      <w:pPr>
        <w:spacing w:line="600" w:lineRule="exact"/>
        <w:ind w:firstLine="560" w:firstLineChars="200"/>
        <w:rPr>
          <w:rFonts w:hint="eastAsia" w:ascii="宋体" w:hAnsi="宋体" w:eastAsia="宋体" w:cs="Times New Roman"/>
          <w:sz w:val="28"/>
          <w:szCs w:val="28"/>
          <w:highlight w:val="none"/>
          <w:lang w:eastAsia="zh-CN"/>
        </w:rPr>
      </w:pPr>
      <w:r>
        <w:rPr>
          <w:rFonts w:ascii="宋体" w:hAnsi="宋体" w:cs="Times New Roman"/>
          <w:sz w:val="28"/>
          <w:szCs w:val="28"/>
          <w:highlight w:val="none"/>
        </w:rPr>
        <w:t>8.2.2</w:t>
      </w:r>
      <w:r>
        <w:rPr>
          <w:rFonts w:hint="eastAsia" w:ascii="宋体" w:hAnsi="宋体" w:cs="Times New Roman"/>
          <w:sz w:val="28"/>
          <w:szCs w:val="28"/>
          <w:highlight w:val="none"/>
        </w:rPr>
        <w:t>8</w:t>
      </w:r>
      <w:r>
        <w:rPr>
          <w:rFonts w:ascii="宋体" w:hAnsi="宋体" w:cs="Times New Roman"/>
          <w:sz w:val="28"/>
          <w:szCs w:val="28"/>
          <w:highlight w:val="none"/>
        </w:rPr>
        <w:t xml:space="preserve"> 乙方应履行合同约定的其他义务以及下述义务：</w:t>
      </w:r>
      <w:r>
        <w:rPr>
          <w:rFonts w:hint="eastAsia" w:ascii="宋体" w:hAnsi="宋体" w:cs="Times New Roman"/>
          <w:sz w:val="28"/>
          <w:szCs w:val="28"/>
          <w:highlight w:val="none"/>
        </w:rPr>
        <w:t>安全隐患监督整改罚款条款</w:t>
      </w:r>
      <w:r>
        <w:rPr>
          <w:rFonts w:hint="eastAsia" w:ascii="宋体" w:hAnsi="宋体" w:cs="Times New Roman"/>
          <w:sz w:val="28"/>
          <w:szCs w:val="28"/>
          <w:highlight w:val="none"/>
          <w:lang w:eastAsia="zh-CN"/>
        </w:rPr>
        <w:t>：</w:t>
      </w:r>
    </w:p>
    <w:p w14:paraId="25B10DE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（1）乙方自行核查施工现场，工程地质情况，地下管线情况，周边架空情况等可能影响施工的一切因素，并采取相应措施。</w:t>
      </w:r>
    </w:p>
    <w:p w14:paraId="6CE7614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（2）对有关图纸资料进行认真分析和计算，并对施工现场进行勘察，确保本项目施工的安全性、合理性、经济性。</w:t>
      </w:r>
    </w:p>
    <w:p w14:paraId="2575C2F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乙方对所有进场工作人员进行安全教育使其遵守国家政府及甲方现场项目部关于安全文明施工管理的规定，并为现场开展工作的人员提供安全措施，承担因乙方原因造成的安全事故的责任（含承担人员伤、亡等费用）和甲方及第三人的损失。</w:t>
      </w:r>
    </w:p>
    <w:p w14:paraId="6F4B2D7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（4）工程竣工后，乙方应根据甲方要求归档工程资料，甲方没有提出具体要求的，应按照《建设工程文件档案规范》（GB/T50328-2014）归档资料。若乙方移交的相关资料不能达到甲方的要求，经</w:t>
      </w:r>
      <w:r>
        <w:rPr>
          <w:rFonts w:hint="eastAsia" w:ascii="宋体" w:hAnsi="宋体" w:cs="Times New Roman"/>
          <w:sz w:val="28"/>
          <w:szCs w:val="28"/>
          <w:highlight w:val="none"/>
        </w:rPr>
        <w:t>限期</w:t>
      </w:r>
      <w:r>
        <w:rPr>
          <w:rFonts w:ascii="宋体" w:hAnsi="宋体" w:cs="Times New Roman"/>
          <w:sz w:val="28"/>
          <w:szCs w:val="28"/>
          <w:highlight w:val="none"/>
        </w:rPr>
        <w:t>整改两次以上仍不能达到要求的，甲方每提出整改</w:t>
      </w:r>
      <w:r>
        <w:rPr>
          <w:rFonts w:hint="eastAsia" w:ascii="宋体" w:hAnsi="宋体" w:cs="Times New Roman"/>
          <w:sz w:val="28"/>
          <w:szCs w:val="28"/>
          <w:highlight w:val="none"/>
        </w:rPr>
        <w:t>或整改超期</w:t>
      </w:r>
      <w:r>
        <w:rPr>
          <w:rFonts w:ascii="宋体" w:hAnsi="宋体" w:cs="Times New Roman"/>
          <w:sz w:val="28"/>
          <w:szCs w:val="28"/>
          <w:highlight w:val="none"/>
        </w:rPr>
        <w:t>一次，乙方须向甲方支付违约金1000元，直至整改</w:t>
      </w:r>
      <w:r>
        <w:rPr>
          <w:rFonts w:hint="eastAsia" w:ascii="宋体" w:hAnsi="宋体" w:cs="Times New Roman"/>
          <w:sz w:val="28"/>
          <w:szCs w:val="28"/>
          <w:highlight w:val="none"/>
        </w:rPr>
        <w:t>至甲方</w:t>
      </w:r>
      <w:r>
        <w:rPr>
          <w:rFonts w:ascii="宋体" w:hAnsi="宋体" w:cs="Times New Roman"/>
          <w:sz w:val="28"/>
          <w:szCs w:val="28"/>
          <w:highlight w:val="none"/>
        </w:rPr>
        <w:t>合格为止。</w:t>
      </w:r>
    </w:p>
    <w:p w14:paraId="42F3546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 (5)乙方应执行政府有关民工工资的管理规定及甲方关于民工工资的相关管理办法。如出现因乙方拖欠民工工资导致民工到政府有关部门或甲方处索要工资的情况，则每出现一次，甲方将向乙方收取5万元违约金；情节严重的，乙方将不得再参与甲方及其关联企业以后项目的</w:t>
      </w:r>
      <w:r>
        <w:rPr>
          <w:rFonts w:hint="eastAsia" w:ascii="宋体" w:hAnsi="宋体" w:cs="Times New Roman"/>
          <w:sz w:val="28"/>
          <w:szCs w:val="28"/>
          <w:highlight w:val="none"/>
        </w:rPr>
        <w:t>投标</w:t>
      </w:r>
      <w:r>
        <w:rPr>
          <w:rFonts w:ascii="宋体" w:hAnsi="宋体" w:cs="Times New Roman"/>
          <w:sz w:val="28"/>
          <w:szCs w:val="28"/>
          <w:highlight w:val="none"/>
        </w:rPr>
        <w:t>。</w:t>
      </w:r>
    </w:p>
    <w:p w14:paraId="1970877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w:t>
      </w:r>
      <w:r>
        <w:rPr>
          <w:rFonts w:hint="eastAsia" w:ascii="宋体" w:hAnsi="宋体" w:cs="Times New Roman"/>
          <w:sz w:val="28"/>
          <w:szCs w:val="28"/>
          <w:highlight w:val="none"/>
        </w:rPr>
        <w:t xml:space="preserve"> </w:t>
      </w:r>
      <w:r>
        <w:rPr>
          <w:rFonts w:ascii="宋体" w:hAnsi="宋体" w:cs="Times New Roman"/>
          <w:sz w:val="28"/>
          <w:szCs w:val="28"/>
          <w:highlight w:val="none"/>
        </w:rPr>
        <w:t>乙方应自备发电机组确保施工用电，并充分考虑工程所在地停电、电压偏低、负荷偏小的风险。任何因施工现场供电原因而导致的造价索赔不被批准，工期索赔报甲方同意后工期可适当顺延。</w:t>
      </w:r>
    </w:p>
    <w:p w14:paraId="71FC1F8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w:t>
      </w:r>
      <w:r>
        <w:rPr>
          <w:rFonts w:hint="eastAsia" w:ascii="宋体" w:hAnsi="宋体" w:cs="Times New Roman"/>
          <w:sz w:val="28"/>
          <w:szCs w:val="28"/>
          <w:highlight w:val="none"/>
        </w:rPr>
        <w:t>7</w:t>
      </w:r>
      <w:r>
        <w:rPr>
          <w:rFonts w:ascii="宋体" w:hAnsi="宋体" w:cs="Times New Roman"/>
          <w:sz w:val="28"/>
          <w:szCs w:val="28"/>
          <w:highlight w:val="none"/>
        </w:rPr>
        <w:t>) 乙方应采取有效措施确保施工用水，并充分考虑工程所在地用水不便、停水、水压偏低等的风险。任何因施工现场供水原因而导致的造价索赔将不被批准，工期索赔报甲方书面同意后工期可适当顺延。</w:t>
      </w:r>
    </w:p>
    <w:p w14:paraId="71D1C16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w:t>
      </w:r>
      <w:r>
        <w:rPr>
          <w:rFonts w:hint="eastAsia" w:ascii="宋体" w:hAnsi="宋体" w:cs="Times New Roman"/>
          <w:sz w:val="28"/>
          <w:szCs w:val="28"/>
          <w:highlight w:val="none"/>
        </w:rPr>
        <w:t>8</w:t>
      </w:r>
      <w:r>
        <w:rPr>
          <w:rFonts w:ascii="宋体" w:hAnsi="宋体" w:cs="Times New Roman"/>
          <w:sz w:val="28"/>
          <w:szCs w:val="28"/>
          <w:highlight w:val="none"/>
        </w:rPr>
        <w:t>)乙方同意接受甲方监督其针对本工程相关材料供应商的货款支付履约情况，保证依照相关合同及时支付材料或设备款。</w:t>
      </w:r>
    </w:p>
    <w:p w14:paraId="2EDB732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9. 施工技术资料的提供</w:t>
      </w:r>
    </w:p>
    <w:p w14:paraId="71AE4BF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9.1 开工前</w:t>
      </w:r>
      <w:r>
        <w:rPr>
          <w:rFonts w:hint="eastAsia" w:ascii="宋体" w:hAnsi="宋体" w:cs="Times New Roman"/>
          <w:sz w:val="28"/>
          <w:szCs w:val="28"/>
          <w:highlight w:val="none"/>
          <w:lang w:val="en-US" w:eastAsia="zh-CN"/>
        </w:rPr>
        <w:t>7</w:t>
      </w:r>
      <w:r>
        <w:rPr>
          <w:rFonts w:ascii="宋体" w:hAnsi="宋体" w:cs="Times New Roman"/>
          <w:sz w:val="28"/>
          <w:szCs w:val="28"/>
          <w:highlight w:val="none"/>
        </w:rPr>
        <w:t xml:space="preserve">日内甲方向乙方提供施工图 </w:t>
      </w:r>
      <w:r>
        <w:rPr>
          <w:rFonts w:hint="eastAsia" w:ascii="宋体" w:hAnsi="宋体" w:cs="Times New Roman"/>
          <w:sz w:val="28"/>
          <w:szCs w:val="28"/>
          <w:highlight w:val="none"/>
          <w:lang w:val="en-US" w:eastAsia="zh-CN"/>
        </w:rPr>
        <w:t>1</w:t>
      </w:r>
      <w:r>
        <w:rPr>
          <w:rFonts w:ascii="宋体" w:hAnsi="宋体" w:cs="Times New Roman"/>
          <w:sz w:val="28"/>
          <w:szCs w:val="28"/>
          <w:highlight w:val="none"/>
        </w:rPr>
        <w:t xml:space="preserve">套，非标图 </w:t>
      </w:r>
      <w:r>
        <w:rPr>
          <w:rFonts w:hint="eastAsia" w:ascii="宋体" w:hAnsi="宋体" w:cs="Times New Roman"/>
          <w:sz w:val="28"/>
          <w:szCs w:val="28"/>
          <w:highlight w:val="none"/>
          <w:lang w:val="en-US" w:eastAsia="zh-CN"/>
        </w:rPr>
        <w:t>/</w:t>
      </w:r>
      <w:r>
        <w:rPr>
          <w:rFonts w:ascii="宋体" w:hAnsi="宋体" w:cs="Times New Roman"/>
          <w:sz w:val="28"/>
          <w:szCs w:val="28"/>
          <w:highlight w:val="none"/>
        </w:rPr>
        <w:t>套，国家标准一律由乙方自备。</w:t>
      </w:r>
    </w:p>
    <w:p w14:paraId="47450FC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9.2 图纸的保密</w:t>
      </w:r>
    </w:p>
    <w:p w14:paraId="40A0744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未经对方许可，按合同规定由甲方和乙方相互提供的图纸不得泄露</w:t>
      </w:r>
      <w:r>
        <w:rPr>
          <w:rFonts w:hint="eastAsia" w:ascii="宋体" w:hAnsi="宋体" w:cs="Times New Roman"/>
          <w:sz w:val="28"/>
          <w:szCs w:val="28"/>
          <w:highlight w:val="none"/>
        </w:rPr>
        <w:t>给予</w:t>
      </w:r>
      <w:r>
        <w:rPr>
          <w:rFonts w:ascii="宋体" w:hAnsi="宋体" w:cs="Times New Roman"/>
          <w:sz w:val="28"/>
          <w:szCs w:val="28"/>
          <w:highlight w:val="none"/>
        </w:rPr>
        <w:t>本合同</w:t>
      </w:r>
      <w:r>
        <w:rPr>
          <w:rFonts w:hint="eastAsia" w:ascii="宋体" w:hAnsi="宋体" w:cs="Times New Roman"/>
          <w:sz w:val="28"/>
          <w:szCs w:val="28"/>
          <w:highlight w:val="none"/>
          <w:lang w:val="en-US" w:eastAsia="zh-CN"/>
        </w:rPr>
        <w:t>项目</w:t>
      </w:r>
      <w:r>
        <w:rPr>
          <w:rFonts w:ascii="宋体" w:hAnsi="宋体" w:cs="Times New Roman"/>
          <w:sz w:val="28"/>
          <w:szCs w:val="28"/>
          <w:highlight w:val="none"/>
        </w:rPr>
        <w:t>无关的第</w:t>
      </w:r>
      <w:r>
        <w:rPr>
          <w:rFonts w:hint="eastAsia" w:ascii="宋体" w:hAnsi="宋体" w:cs="Times New Roman"/>
          <w:sz w:val="28"/>
          <w:szCs w:val="28"/>
          <w:highlight w:val="none"/>
        </w:rPr>
        <w:t>三方</w:t>
      </w:r>
      <w:r>
        <w:rPr>
          <w:rFonts w:ascii="宋体" w:hAnsi="宋体" w:cs="Times New Roman"/>
          <w:sz w:val="28"/>
          <w:szCs w:val="28"/>
          <w:highlight w:val="none"/>
        </w:rPr>
        <w:t>，违者应对泄密造成的后果承担责任。</w:t>
      </w:r>
    </w:p>
    <w:p w14:paraId="3B534B7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9.3 引进成套设备，甲方向乙方提供原版图1套、中文图</w:t>
      </w:r>
      <w:r>
        <w:rPr>
          <w:rFonts w:hint="eastAsia" w:ascii="宋体" w:hAnsi="宋体" w:cs="Times New Roman"/>
          <w:sz w:val="28"/>
          <w:szCs w:val="28"/>
          <w:highlight w:val="none"/>
        </w:rPr>
        <w:t xml:space="preserve"> / </w:t>
      </w:r>
      <w:r>
        <w:rPr>
          <w:rFonts w:ascii="宋体" w:hAnsi="宋体" w:cs="Times New Roman"/>
          <w:sz w:val="28"/>
          <w:szCs w:val="28"/>
          <w:highlight w:val="none"/>
        </w:rPr>
        <w:t>套、施工要领书或技术标准</w:t>
      </w:r>
      <w:r>
        <w:rPr>
          <w:rFonts w:hint="eastAsia" w:ascii="宋体" w:hAnsi="宋体" w:cs="Times New Roman"/>
          <w:sz w:val="28"/>
          <w:szCs w:val="28"/>
          <w:highlight w:val="none"/>
        </w:rPr>
        <w:t xml:space="preserve"> / </w:t>
      </w:r>
      <w:r>
        <w:rPr>
          <w:rFonts w:ascii="宋体" w:hAnsi="宋体" w:cs="Times New Roman"/>
          <w:sz w:val="28"/>
          <w:szCs w:val="28"/>
          <w:highlight w:val="none"/>
        </w:rPr>
        <w:t>套。</w:t>
      </w:r>
    </w:p>
    <w:p w14:paraId="72BAE5A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9.4 一切设计变更、材料代用、技术问题联系单均采用书面形式，</w:t>
      </w:r>
      <w:r>
        <w:rPr>
          <w:rFonts w:hint="eastAsia" w:ascii="宋体" w:hAnsi="宋体" w:cs="Times New Roman"/>
          <w:sz w:val="28"/>
          <w:szCs w:val="28"/>
          <w:highlight w:val="none"/>
        </w:rPr>
        <w:t>由</w:t>
      </w:r>
      <w:r>
        <w:rPr>
          <w:rFonts w:ascii="宋体" w:hAnsi="宋体" w:cs="Times New Roman"/>
          <w:sz w:val="28"/>
          <w:szCs w:val="28"/>
          <w:highlight w:val="none"/>
        </w:rPr>
        <w:t>设计人签字并加盖设计</w:t>
      </w:r>
      <w:r>
        <w:rPr>
          <w:rFonts w:hint="eastAsia" w:ascii="宋体" w:hAnsi="宋体" w:cs="Times New Roman"/>
          <w:sz w:val="28"/>
          <w:szCs w:val="28"/>
          <w:highlight w:val="none"/>
        </w:rPr>
        <w:t>单位</w:t>
      </w:r>
      <w:r>
        <w:rPr>
          <w:rFonts w:ascii="宋体" w:hAnsi="宋体" w:cs="Times New Roman"/>
          <w:sz w:val="28"/>
          <w:szCs w:val="28"/>
          <w:highlight w:val="none"/>
        </w:rPr>
        <w:t>公章。</w:t>
      </w:r>
    </w:p>
    <w:p w14:paraId="4D02A9D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9.5 施工过程中如发现设计有错误或严重不合理时，乙方应在</w:t>
      </w:r>
      <w:r>
        <w:rPr>
          <w:rFonts w:hint="eastAsia" w:ascii="宋体" w:hAnsi="宋体" w:cs="Times New Roman"/>
          <w:sz w:val="28"/>
          <w:szCs w:val="28"/>
          <w:highlight w:val="none"/>
        </w:rPr>
        <w:t xml:space="preserve"> </w:t>
      </w:r>
      <w:r>
        <w:rPr>
          <w:rFonts w:ascii="宋体" w:hAnsi="宋体" w:cs="Times New Roman"/>
          <w:sz w:val="28"/>
          <w:szCs w:val="28"/>
          <w:highlight w:val="none"/>
        </w:rPr>
        <w:t xml:space="preserve">  </w:t>
      </w:r>
      <w:r>
        <w:rPr>
          <w:rFonts w:hint="eastAsia" w:ascii="宋体" w:hAnsi="宋体" w:cs="Times New Roman"/>
          <w:sz w:val="28"/>
          <w:szCs w:val="28"/>
          <w:highlight w:val="none"/>
          <w:lang w:val="en-US" w:eastAsia="zh-CN"/>
        </w:rPr>
        <w:t>12</w:t>
      </w:r>
      <w:r>
        <w:rPr>
          <w:rFonts w:ascii="宋体" w:hAnsi="宋体" w:cs="Times New Roman"/>
          <w:sz w:val="28"/>
          <w:szCs w:val="28"/>
          <w:highlight w:val="none"/>
        </w:rPr>
        <w:t xml:space="preserve">小时内通知甲方，由甲方会同设计等有关部门研究确定后 </w:t>
      </w:r>
      <w:r>
        <w:rPr>
          <w:rFonts w:hint="eastAsia" w:ascii="宋体" w:hAnsi="宋体" w:cs="Times New Roman"/>
          <w:sz w:val="28"/>
          <w:szCs w:val="28"/>
          <w:highlight w:val="none"/>
          <w:lang w:val="en-US" w:eastAsia="zh-CN"/>
        </w:rPr>
        <w:t>12</w:t>
      </w:r>
      <w:r>
        <w:rPr>
          <w:rFonts w:ascii="宋体" w:hAnsi="宋体" w:cs="Times New Roman"/>
          <w:sz w:val="28"/>
          <w:szCs w:val="28"/>
          <w:highlight w:val="none"/>
        </w:rPr>
        <w:t>小时内将修改意见或变更设计文件提交乙方，乙方按修改或变更设计文件进行施工，由此增减的费用</w:t>
      </w:r>
      <w:r>
        <w:rPr>
          <w:rFonts w:hint="eastAsia" w:ascii="宋体" w:hAnsi="宋体" w:cs="Times New Roman"/>
          <w:sz w:val="28"/>
          <w:szCs w:val="28"/>
          <w:highlight w:val="none"/>
          <w:lang w:val="en-US" w:eastAsia="zh-CN"/>
        </w:rPr>
        <w:t>由甲乙双方协商</w:t>
      </w:r>
      <w:r>
        <w:rPr>
          <w:rFonts w:ascii="宋体" w:hAnsi="宋体" w:cs="Times New Roman"/>
          <w:sz w:val="28"/>
          <w:szCs w:val="28"/>
          <w:highlight w:val="none"/>
        </w:rPr>
        <w:t>。</w:t>
      </w:r>
    </w:p>
    <w:p w14:paraId="151A54A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 工程质量和验收</w:t>
      </w:r>
    </w:p>
    <w:p w14:paraId="534CC06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 工程质量规范和工程等级</w:t>
      </w:r>
    </w:p>
    <w:p w14:paraId="1A74B1A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10.1.1 工程质量规范</w:t>
      </w:r>
    </w:p>
    <w:p w14:paraId="1C5786D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符合NB/T33004-2020《电动汽车充换电设施工程施工和竣工验收规范》以及其它与本项目相关</w:t>
      </w:r>
      <w:r>
        <w:rPr>
          <w:rFonts w:hint="eastAsia" w:ascii="宋体" w:hAnsi="宋体" w:cs="Times New Roman"/>
          <w:sz w:val="28"/>
          <w:szCs w:val="28"/>
          <w:highlight w:val="none"/>
        </w:rPr>
        <w:t>的</w:t>
      </w:r>
      <w:r>
        <w:rPr>
          <w:rFonts w:ascii="宋体" w:hAnsi="宋体" w:cs="Times New Roman"/>
          <w:sz w:val="28"/>
          <w:szCs w:val="28"/>
          <w:highlight w:val="none"/>
        </w:rPr>
        <w:t>行业现行质量验收合格标准。</w:t>
      </w:r>
    </w:p>
    <w:p w14:paraId="50305BE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10.1.2 工程质量等级</w:t>
      </w:r>
    </w:p>
    <w:p w14:paraId="7479E30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本工程质量等级达到</w:t>
      </w:r>
      <w:r>
        <w:rPr>
          <w:rFonts w:ascii="宋体" w:hAnsi="宋体" w:cs="Times New Roman"/>
          <w:sz w:val="28"/>
          <w:szCs w:val="28"/>
          <w:highlight w:val="none"/>
          <w:u w:val="single"/>
        </w:rPr>
        <w:t xml:space="preserve"> 合格 </w:t>
      </w:r>
      <w:r>
        <w:rPr>
          <w:rFonts w:ascii="宋体" w:hAnsi="宋体" w:cs="Times New Roman"/>
          <w:sz w:val="28"/>
          <w:szCs w:val="28"/>
          <w:highlight w:val="none"/>
        </w:rPr>
        <w:t>标准。</w:t>
      </w:r>
    </w:p>
    <w:p w14:paraId="4B39C69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10.2 工程质量应当达到协议书约定的质量标准，质量标准的评定以国家或行业的质量检验评定标准为依据。因乙方原因工程质量达不到约定的质量标准，乙方承担违约责任。</w:t>
      </w:r>
    </w:p>
    <w:p w14:paraId="462FA02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10.2.1 甲方发现乙方使用不合格（包括质量不合格及假冒伪劣产生）或未经批准的材料，每发现一次，甲方对乙方处以5000元整的违约金，乙方应立即更换符合本合同约定的合格材料，且工期不顺延。</w:t>
      </w:r>
    </w:p>
    <w:p w14:paraId="17835AC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10.2.2 因乙方原因出现质量事故，乙方应对工程进行修复。且除按国家、地方有关法律法规处罚外，每出现一次，甲方</w:t>
      </w:r>
      <w:r>
        <w:rPr>
          <w:rFonts w:ascii="宋体" w:hAnsi="宋体" w:cs="Times New Roman"/>
          <w:sz w:val="28"/>
          <w:szCs w:val="28"/>
          <w:highlight w:val="none"/>
          <w:lang w:val="zh-CN"/>
        </w:rPr>
        <w:t>对乙方处以</w:t>
      </w:r>
      <w:r>
        <w:rPr>
          <w:rFonts w:ascii="宋体" w:hAnsi="宋体" w:cs="Times New Roman"/>
          <w:sz w:val="28"/>
          <w:szCs w:val="28"/>
          <w:highlight w:val="none"/>
        </w:rPr>
        <w:t>1万元的违约金。若出现重大质量事故，乙方负责赔偿因此给甲方、第</w:t>
      </w:r>
      <w:r>
        <w:rPr>
          <w:rFonts w:hint="eastAsia" w:ascii="宋体" w:hAnsi="宋体" w:cs="Times New Roman"/>
          <w:sz w:val="28"/>
          <w:szCs w:val="28"/>
          <w:highlight w:val="none"/>
        </w:rPr>
        <w:t>三方</w:t>
      </w:r>
      <w:r>
        <w:rPr>
          <w:rFonts w:ascii="宋体" w:hAnsi="宋体" w:cs="Times New Roman"/>
          <w:sz w:val="28"/>
          <w:szCs w:val="28"/>
          <w:highlight w:val="none"/>
        </w:rPr>
        <w:t>造成的一切损失，且甲方有权</w:t>
      </w:r>
      <w:r>
        <w:rPr>
          <w:rFonts w:hint="eastAsia" w:ascii="宋体" w:hAnsi="宋体" w:cs="Times New Roman"/>
          <w:sz w:val="28"/>
          <w:szCs w:val="28"/>
          <w:highlight w:val="none"/>
        </w:rPr>
        <w:t>解除</w:t>
      </w:r>
      <w:r>
        <w:rPr>
          <w:rFonts w:ascii="宋体" w:hAnsi="宋体" w:cs="Times New Roman"/>
          <w:sz w:val="28"/>
          <w:szCs w:val="28"/>
          <w:highlight w:val="none"/>
        </w:rPr>
        <w:t>合同，并要求乙方支付合同暂定总金额</w:t>
      </w:r>
      <w:r>
        <w:rPr>
          <w:rFonts w:hint="eastAsia" w:ascii="宋体" w:hAnsi="宋体" w:cs="Times New Roman"/>
          <w:sz w:val="28"/>
          <w:szCs w:val="28"/>
          <w:highlight w:val="none"/>
          <w:lang w:val="en-US" w:eastAsia="zh-CN"/>
        </w:rPr>
        <w:t>3</w:t>
      </w:r>
      <w:r>
        <w:rPr>
          <w:rFonts w:ascii="宋体" w:hAnsi="宋体" w:cs="Times New Roman"/>
          <w:sz w:val="28"/>
          <w:szCs w:val="28"/>
          <w:highlight w:val="none"/>
        </w:rPr>
        <w:t>0%的违约金。</w:t>
      </w:r>
    </w:p>
    <w:p w14:paraId="305400B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10.2.3 乙方在施工过程中未按相关规范、标准、图纸进行操作，每出现一次，甲方向乙方收取违约金3000-5000元。</w:t>
      </w:r>
    </w:p>
    <w:p w14:paraId="2B8E966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10.3</w:t>
      </w:r>
      <w:r>
        <w:rPr>
          <w:rFonts w:hint="eastAsia" w:ascii="宋体" w:hAnsi="宋体" w:cs="Times New Roman"/>
          <w:sz w:val="28"/>
          <w:szCs w:val="28"/>
          <w:highlight w:val="none"/>
        </w:rPr>
        <w:t>.1材料管理:每批材料进场前最少24小时通知甲方和监理进行材料报验。乙方对材料进场全数自检，并留数据照片。通知监理进行抽检、对进场材料见证取样。</w:t>
      </w:r>
    </w:p>
    <w:p w14:paraId="27925AD7">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10.3.2</w:t>
      </w:r>
      <w:r>
        <w:rPr>
          <w:rFonts w:ascii="宋体" w:hAnsi="宋体" w:cs="Times New Roman"/>
          <w:sz w:val="28"/>
          <w:szCs w:val="28"/>
          <w:highlight w:val="none"/>
        </w:rPr>
        <w:t>双方对工程质量</w:t>
      </w:r>
      <w:r>
        <w:rPr>
          <w:rFonts w:hint="eastAsia" w:ascii="宋体" w:hAnsi="宋体" w:cs="Times New Roman"/>
          <w:sz w:val="28"/>
          <w:szCs w:val="28"/>
          <w:highlight w:val="none"/>
        </w:rPr>
        <w:t>或材料质量</w:t>
      </w:r>
      <w:r>
        <w:rPr>
          <w:rFonts w:ascii="宋体" w:hAnsi="宋体" w:cs="Times New Roman"/>
          <w:sz w:val="28"/>
          <w:szCs w:val="28"/>
          <w:highlight w:val="none"/>
        </w:rPr>
        <w:t>有争议，由双方同意的质量检测机构鉴定，所需费用及因此造成的损失，由责任方承担。双方均有责任的，由双方根据其责任分别承担。</w:t>
      </w:r>
    </w:p>
    <w:p w14:paraId="0F35D75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10.4 质量检查的职责和权力</w:t>
      </w:r>
    </w:p>
    <w:p w14:paraId="156E7C3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10.4.1 乙方的质量管理</w:t>
      </w:r>
    </w:p>
    <w:p w14:paraId="569614E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建立和健全质量保证体系，在工地设置专门的质量检查机构，配备专职的质量检查人员，建立完善的质量检查制度。乙方应在签订合同后5天内，向甲方报送一份内容包括质量检查机构的组织和岗位责任及质检人员的组成、质量检查程序和实施细则等的工程质量保证措施报告，报送甲方审批。</w:t>
      </w:r>
    </w:p>
    <w:p w14:paraId="418D25D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10.4.2 乙方的质量检查职责</w:t>
      </w:r>
    </w:p>
    <w:p w14:paraId="6DF956A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（1）乙方应严格按本条的规定和甲方的指示，对工程使用的材料和工程设备以及工程的所有部位及其施工工艺，进行全过程的质量检查，详细</w:t>
      </w:r>
      <w:r>
        <w:rPr>
          <w:rFonts w:hint="eastAsia" w:ascii="宋体" w:hAnsi="宋体" w:cs="Times New Roman"/>
          <w:sz w:val="28"/>
          <w:szCs w:val="28"/>
          <w:highlight w:val="none"/>
        </w:rPr>
        <w:t>做好</w:t>
      </w:r>
      <w:r>
        <w:rPr>
          <w:rFonts w:ascii="宋体" w:hAnsi="宋体" w:cs="Times New Roman"/>
          <w:sz w:val="28"/>
          <w:szCs w:val="28"/>
          <w:highlight w:val="none"/>
        </w:rPr>
        <w:t xml:space="preserve">质量检查记录，编制工程质量报表，定期提交甲方审查。  </w:t>
      </w:r>
    </w:p>
    <w:p w14:paraId="1AC1955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（2）依据设计文件的要求，本工程项目的材料、设备、施工须达到现行中华人民共和国以及省、自治区、直辖市或行业的工程建设标准、规范的要求。</w:t>
      </w:r>
    </w:p>
    <w:p w14:paraId="663ADA8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（3）同类设备或材料应为相同厂家生产的同一品牌。</w:t>
      </w:r>
    </w:p>
    <w:p w14:paraId="44D10B7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10.5 现场试验</w:t>
      </w:r>
    </w:p>
    <w:p w14:paraId="208F884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10.5.1 现场材料试验</w:t>
      </w:r>
    </w:p>
    <w:p w14:paraId="3B83142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甲方在质量检查和检验过程中若需抽样试验，所需试件应由乙方提供，甲方可以使用乙方的试验设备，乙方应予协助。上述试验所需提供的试件和甲方使用试验设备所需的费用由乙方承担。</w:t>
      </w:r>
    </w:p>
    <w:p w14:paraId="3CA939E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10.5.2 现场工艺试验</w:t>
      </w:r>
    </w:p>
    <w:p w14:paraId="18E648B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乙方应按合同规定和甲方的指示进行现场工艺试验，除合同另有规定外，其所需费用由乙方承担。在施工过程中，若甲方要求乙方进行额外的现场工艺试验时，乙方应遵照执行，所需费用</w:t>
      </w:r>
      <w:r>
        <w:rPr>
          <w:rFonts w:hint="eastAsia" w:ascii="宋体" w:hAnsi="宋体" w:cs="Times New Roman"/>
          <w:sz w:val="28"/>
          <w:szCs w:val="28"/>
          <w:highlight w:val="none"/>
          <w:lang w:val="en-US" w:eastAsia="zh-CN"/>
        </w:rPr>
        <w:t>按第7.4.4款规定</w:t>
      </w:r>
      <w:r>
        <w:rPr>
          <w:rFonts w:ascii="宋体" w:hAnsi="宋体" w:cs="Times New Roman"/>
          <w:sz w:val="28"/>
          <w:szCs w:val="28"/>
          <w:highlight w:val="none"/>
        </w:rPr>
        <w:t>承担，影响的工期应予以合理补偿。</w:t>
      </w:r>
    </w:p>
    <w:p w14:paraId="30A4ECE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10.6 隐蔽工程和工程的隐蔽部位</w:t>
      </w:r>
    </w:p>
    <w:p w14:paraId="6B95B5D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10.6.1 覆盖前的检查</w:t>
      </w:r>
    </w:p>
    <w:p w14:paraId="4D53B42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隐蔽工程和工程的隐蔽部位经乙方的自检确认具备覆盖条件后的24小时内，乙方应</w:t>
      </w:r>
      <w:r>
        <w:rPr>
          <w:rFonts w:hint="eastAsia" w:ascii="宋体" w:hAnsi="宋体" w:cs="Times New Roman"/>
          <w:sz w:val="28"/>
          <w:szCs w:val="28"/>
          <w:highlight w:val="none"/>
        </w:rPr>
        <w:t>书面</w:t>
      </w:r>
      <w:r>
        <w:rPr>
          <w:rFonts w:ascii="宋体" w:hAnsi="宋体" w:cs="Times New Roman"/>
          <w:sz w:val="28"/>
          <w:szCs w:val="28"/>
          <w:highlight w:val="none"/>
        </w:rPr>
        <w:t>通知甲方</w:t>
      </w:r>
      <w:r>
        <w:rPr>
          <w:rFonts w:hint="eastAsia" w:ascii="宋体" w:hAnsi="宋体" w:cs="Times New Roman"/>
          <w:sz w:val="28"/>
          <w:szCs w:val="28"/>
          <w:highlight w:val="none"/>
        </w:rPr>
        <w:t>及监理单位</w:t>
      </w:r>
      <w:r>
        <w:rPr>
          <w:rFonts w:ascii="宋体" w:hAnsi="宋体" w:cs="Times New Roman"/>
          <w:sz w:val="28"/>
          <w:szCs w:val="28"/>
          <w:highlight w:val="none"/>
        </w:rPr>
        <w:t>进行检查，通知应按规定的格式说明检查地点、内容和检查时间，并附有乙方自检记录和必要的检查数据。甲方</w:t>
      </w:r>
      <w:r>
        <w:rPr>
          <w:rFonts w:hint="eastAsia" w:ascii="宋体" w:hAnsi="宋体" w:cs="Times New Roman"/>
          <w:sz w:val="28"/>
          <w:szCs w:val="28"/>
          <w:highlight w:val="none"/>
        </w:rPr>
        <w:t>和监理单位</w:t>
      </w:r>
      <w:r>
        <w:rPr>
          <w:rFonts w:ascii="宋体" w:hAnsi="宋体" w:cs="Times New Roman"/>
          <w:sz w:val="28"/>
          <w:szCs w:val="28"/>
          <w:highlight w:val="none"/>
        </w:rPr>
        <w:t>应按通知约定的时间派员到场进行检查，在确认质量符合要求，并在检查记录上签字后，乙方才能进行覆盖。</w:t>
      </w:r>
    </w:p>
    <w:p w14:paraId="1B4FCF9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10.6.2 甲方未到场检查</w:t>
      </w:r>
    </w:p>
    <w:p w14:paraId="7B49C98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甲方应在约定的时间内到场进行隐蔽工程和工程隐蔽部位的检查，不得无故缺席或拖延。若甲方未及时派员到场检查，造成工期延误，乙方有权要求甲方延长工期</w:t>
      </w:r>
      <w:r>
        <w:rPr>
          <w:rFonts w:hint="eastAsia" w:ascii="宋体" w:hAnsi="宋体" w:cs="Times New Roman"/>
          <w:sz w:val="28"/>
          <w:szCs w:val="28"/>
          <w:highlight w:val="none"/>
          <w:lang w:val="en-US" w:eastAsia="zh-CN"/>
        </w:rPr>
        <w:t>，由此产生的费用由甲乙双方协商解决</w:t>
      </w:r>
      <w:r>
        <w:rPr>
          <w:rFonts w:ascii="宋体" w:hAnsi="宋体" w:cs="Times New Roman"/>
          <w:sz w:val="28"/>
          <w:szCs w:val="28"/>
          <w:highlight w:val="none"/>
        </w:rPr>
        <w:t>。</w:t>
      </w:r>
    </w:p>
    <w:p w14:paraId="53BD8AF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10.6.3 重新检查</w:t>
      </w:r>
    </w:p>
    <w:p w14:paraId="3916DD9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对隐蔽工程或工程的隐蔽部位按第10.6.1款规定进行检查并覆盖后，若甲方事后对质量有怀疑，可要求乙方对己覆盖的部位进行钻孔探测以致揭开重新检验，乙方应遵照执行。</w:t>
      </w:r>
      <w:r>
        <w:rPr>
          <w:rFonts w:hint="eastAsia" w:ascii="宋体" w:hAnsi="宋体" w:cs="Times New Roman"/>
          <w:sz w:val="28"/>
          <w:szCs w:val="28"/>
          <w:highlight w:val="none"/>
        </w:rPr>
        <w:t>经检查证明工程质量符合合同要求的，由甲方承担由此增加的费用和（或）延误的工期；经检查证明工程质量不符合合同要求的，由此增加的费用和（或）延误的工期由乙方承担</w:t>
      </w:r>
      <w:r>
        <w:rPr>
          <w:rFonts w:ascii="宋体" w:hAnsi="宋体" w:cs="Times New Roman"/>
          <w:sz w:val="28"/>
          <w:szCs w:val="28"/>
          <w:highlight w:val="none"/>
        </w:rPr>
        <w:t>。</w:t>
      </w:r>
    </w:p>
    <w:p w14:paraId="1D20974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10.6.4 乙方私自覆盖</w:t>
      </w:r>
    </w:p>
    <w:p w14:paraId="1223E64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乙方未及时通知甲方</w:t>
      </w:r>
      <w:r>
        <w:rPr>
          <w:rFonts w:hint="eastAsia" w:ascii="宋体" w:hAnsi="宋体" w:cs="Times New Roman"/>
          <w:sz w:val="28"/>
          <w:szCs w:val="28"/>
          <w:highlight w:val="none"/>
        </w:rPr>
        <w:t>及监理单位</w:t>
      </w:r>
      <w:r>
        <w:rPr>
          <w:rFonts w:ascii="宋体" w:hAnsi="宋体" w:cs="Times New Roman"/>
          <w:sz w:val="28"/>
          <w:szCs w:val="28"/>
          <w:highlight w:val="none"/>
        </w:rPr>
        <w:t>到场检查，私自将隐蔽部位覆盖，甲方有权要求乙方采用钻孔探测以至揭开进行检查，由此增加的所有费用和工期延误责任由乙方承担。</w:t>
      </w:r>
    </w:p>
    <w:p w14:paraId="4B0CAEA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10.7 乙方不进行检查和检验的补救办法</w:t>
      </w:r>
    </w:p>
    <w:p w14:paraId="0C3B47E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不按第7.4款的规定完成甲方指示的检查和检验工作，甲方可以指派自己的人员或委托其它有资质的检验机构或人员进行检查和检验，乙方不得拒绝，并应提供一切方便。由此增加的费用和工期延误责任由乙方承担。</w:t>
      </w:r>
    </w:p>
    <w:p w14:paraId="0CBC1AE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10.8 测量放线</w:t>
      </w:r>
    </w:p>
    <w:p w14:paraId="7C999B5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10.8.1 施工控制网</w:t>
      </w:r>
    </w:p>
    <w:p w14:paraId="7831A57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(1)甲方应向乙方提供测量基准点、基准线和水准点及其书面资料。乙方应根据上述基准点（线）以及国家测绘标准和本工程精度要求，测设自己的施工控制网，并将施工控制网数据报送甲方审批。</w:t>
      </w:r>
    </w:p>
    <w:p w14:paraId="53F3C7F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(2)乙方应负责管理好施工控制网点，若有丢失或损坏，应及时修复，其所需的管理和修复费用由乙方承担。工程竣工后应完好地移交给甲方。</w:t>
      </w:r>
    </w:p>
    <w:p w14:paraId="22E1BED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10.8.2 施工测量</w:t>
      </w:r>
    </w:p>
    <w:p w14:paraId="6A43D12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(1)乙方应负责施工过程中的全部施工测量放线工作，并应自行配置合格的人员、仪器、设备和其它物品。</w:t>
      </w:r>
    </w:p>
    <w:p w14:paraId="3D8EFBB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(2)甲方有权指示乙方在甲方监督下进行抽样复测，当复测中发现有错误时，乙方必须按甲方指示进行修正或补测，甲方将不再支付上述增加的复测费用。</w:t>
      </w:r>
    </w:p>
    <w:p w14:paraId="5B2E883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10.8.3 甲方使用施工控制网</w:t>
      </w:r>
    </w:p>
    <w:p w14:paraId="72DBE68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甲方可以使用本合同的施工控制网，乙方应及时提供必要的协助，甲方亦不再为此另行支付费用。</w:t>
      </w:r>
    </w:p>
    <w:p w14:paraId="0E828BA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10.9 补充地质勘探</w:t>
      </w:r>
    </w:p>
    <w:p w14:paraId="1D5CD7B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在合同实施期间，甲方可以指示乙方进行必要的补充地质勘探和提供有关资料；乙方为本合同永久工程的施工需要进行补充地质勘探时，须经甲方书面批准，并应向甲方提交有关资料，上述补充勘探的费用由甲方承担。乙方为其临时工程所需进行的补充地质勘探，其费用由乙方承担。</w:t>
      </w:r>
    </w:p>
    <w:p w14:paraId="59995AD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10.10 工程试车</w:t>
      </w:r>
    </w:p>
    <w:p w14:paraId="3A533A5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10.10.1 在设备安装前 24 小时内，乙方必须会同甲方、设计单位</w:t>
      </w:r>
      <w:r>
        <w:rPr>
          <w:rFonts w:hint="eastAsia" w:ascii="宋体" w:hAnsi="宋体" w:cs="Times New Roman"/>
          <w:sz w:val="28"/>
          <w:szCs w:val="28"/>
          <w:highlight w:val="none"/>
        </w:rPr>
        <w:t>、监理单位</w:t>
      </w:r>
      <w:r>
        <w:rPr>
          <w:rFonts w:ascii="宋体" w:hAnsi="宋体" w:cs="Times New Roman"/>
          <w:sz w:val="28"/>
          <w:szCs w:val="28"/>
          <w:highlight w:val="none"/>
        </w:rPr>
        <w:t>对设备、结构、几何尺寸进行检查，并对基础上的轴线、标高进行复核，同时办理隐蔽工程验收和中间交工手续。设备安装应按照安装的次序及施工进度陆续组织设备进场，并在安装前由甲乙双方共同开箱清点，做好记录。安装验收后，将有关技术资料、专用工具和随机配件交给甲方，工程师在验收单上签字。</w:t>
      </w:r>
    </w:p>
    <w:p w14:paraId="68B93A6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10.10.2 联动设备的单机试运转工作由乙方负责组织</w:t>
      </w:r>
      <w:r>
        <w:rPr>
          <w:rFonts w:hint="eastAsia" w:ascii="宋体" w:hAnsi="宋体" w:cs="Times New Roman"/>
          <w:sz w:val="28"/>
          <w:szCs w:val="28"/>
          <w:highlight w:val="none"/>
        </w:rPr>
        <w:t>，</w:t>
      </w:r>
      <w:r>
        <w:rPr>
          <w:rFonts w:ascii="宋体" w:hAnsi="宋体" w:cs="Times New Roman"/>
          <w:sz w:val="28"/>
          <w:szCs w:val="28"/>
          <w:highlight w:val="none"/>
        </w:rPr>
        <w:t>并在试车前 48 小时内将试车内容、时间、地点以书面形式通知甲方，由工程师在试车记录上签字；联合试运转由甲方组织，乙方配合进行，其费用按有关规定执行。</w:t>
      </w:r>
    </w:p>
    <w:p w14:paraId="4D16EB2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10.11 竣工验收</w:t>
      </w:r>
    </w:p>
    <w:p w14:paraId="27BB6FB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10.11.1 工程竣工后 5日内，乙方按本合同相关标准，向甲方提供完整竣工资料及验收报告。甲方在收到竣工验收报告3日内组织有关单位根据约定的工程质量规范进行验收。验收后 3日予以认可或提出修改意见。对甲方提出的修改意见，乙方应在 7日内整改完毕，并承担由自身原因造成的整改费用；</w:t>
      </w:r>
    </w:p>
    <w:p w14:paraId="7634F66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10.11.2 甲方收到竣工验收报告 3日内</w:t>
      </w:r>
      <w:r>
        <w:rPr>
          <w:rFonts w:hint="eastAsia" w:ascii="宋体" w:hAnsi="宋体" w:cs="Times New Roman"/>
          <w:sz w:val="28"/>
          <w:szCs w:val="28"/>
          <w:highlight w:val="none"/>
          <w:lang w:val="en-US" w:eastAsia="zh-CN"/>
        </w:rPr>
        <w:t>未</w:t>
      </w:r>
      <w:r>
        <w:rPr>
          <w:rFonts w:ascii="宋体" w:hAnsi="宋体" w:cs="Times New Roman"/>
          <w:sz w:val="28"/>
          <w:szCs w:val="28"/>
          <w:highlight w:val="none"/>
        </w:rPr>
        <w:t>组织验收或验收后 3日不提出修改意见，视为工程竣工验收合格。</w:t>
      </w:r>
    </w:p>
    <w:p w14:paraId="0EE1394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10.11.3 工程竣工后 28天内乙方应绘制竣工图一式 3份，工程变更不大的由乙方在原施工图上加注核定单编号，提交甲方存档。其它交工资料的内容与份数按有关规定整理提交给甲方。</w:t>
      </w:r>
    </w:p>
    <w:p w14:paraId="0660267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10.11.4 乙方负责整理和提交的竣工验收资料应当符合工程所在地建设行政主管部门或城市建设档案管理机构有关施工资料的要求。</w:t>
      </w:r>
    </w:p>
    <w:p w14:paraId="56B6352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10.12 质量保修</w:t>
      </w:r>
    </w:p>
    <w:p w14:paraId="0D11D89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10.12.1 质量保证金</w:t>
      </w:r>
    </w:p>
    <w:p w14:paraId="12483EDD">
      <w:pPr>
        <w:spacing w:line="600" w:lineRule="exact"/>
        <w:ind w:firstLine="560" w:firstLineChars="200"/>
        <w:rPr>
          <w:rFonts w:hint="eastAsia" w:ascii="宋体" w:hAnsi="宋体" w:cs="Times New Roman"/>
          <w:sz w:val="28"/>
          <w:szCs w:val="28"/>
          <w:highlight w:val="none"/>
        </w:rPr>
      </w:pPr>
      <w:r>
        <w:rPr>
          <w:rFonts w:ascii="宋体" w:hAnsi="宋体" w:cs="Times New Roman"/>
          <w:sz w:val="28"/>
          <w:szCs w:val="28"/>
          <w:highlight w:val="none"/>
        </w:rPr>
        <w:t>10.12.1.1 质量保证金的</w:t>
      </w:r>
      <w:r>
        <w:rPr>
          <w:rFonts w:hint="eastAsia" w:ascii="宋体" w:hAnsi="宋体" w:cs="Times New Roman"/>
          <w:sz w:val="28"/>
          <w:szCs w:val="28"/>
          <w:highlight w:val="none"/>
        </w:rPr>
        <w:t>金额</w:t>
      </w:r>
    </w:p>
    <w:p w14:paraId="49C03F86">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质保金金额为</w:t>
      </w:r>
      <w:r>
        <w:rPr>
          <w:rFonts w:ascii="宋体" w:hAnsi="宋体" w:cs="Times New Roman"/>
          <w:sz w:val="28"/>
          <w:szCs w:val="28"/>
          <w:highlight w:val="none"/>
        </w:rPr>
        <w:t>经甲方委托的</w:t>
      </w:r>
      <w:r>
        <w:rPr>
          <w:rFonts w:hint="eastAsia" w:ascii="宋体" w:hAnsi="宋体" w:cs="Times New Roman"/>
          <w:sz w:val="28"/>
          <w:szCs w:val="28"/>
          <w:highlight w:val="none"/>
        </w:rPr>
        <w:t>造价咨询</w:t>
      </w:r>
      <w:r>
        <w:rPr>
          <w:rFonts w:ascii="宋体" w:hAnsi="宋体" w:cs="Times New Roman"/>
          <w:sz w:val="28"/>
          <w:szCs w:val="28"/>
          <w:highlight w:val="none"/>
        </w:rPr>
        <w:t>单位</w:t>
      </w:r>
      <w:r>
        <w:rPr>
          <w:rFonts w:hint="eastAsia" w:ascii="宋体" w:hAnsi="宋体" w:cs="Times New Roman"/>
          <w:sz w:val="28"/>
          <w:szCs w:val="28"/>
          <w:highlight w:val="none"/>
        </w:rPr>
        <w:t>审定后的</w:t>
      </w:r>
      <w:r>
        <w:rPr>
          <w:rFonts w:ascii="宋体" w:hAnsi="宋体" w:cs="Times New Roman"/>
          <w:sz w:val="28"/>
          <w:szCs w:val="28"/>
          <w:highlight w:val="none"/>
        </w:rPr>
        <w:t>工程竣工结算审定价款的</w:t>
      </w:r>
      <w:r>
        <w:rPr>
          <w:rFonts w:hint="eastAsia" w:ascii="宋体" w:hAnsi="宋体" w:cs="Times New Roman"/>
          <w:sz w:val="28"/>
          <w:szCs w:val="28"/>
          <w:highlight w:val="none"/>
        </w:rPr>
        <w:t>3</w:t>
      </w:r>
      <w:r>
        <w:rPr>
          <w:rFonts w:ascii="宋体" w:hAnsi="宋体" w:cs="Times New Roman"/>
          <w:sz w:val="28"/>
          <w:szCs w:val="28"/>
          <w:highlight w:val="none"/>
        </w:rPr>
        <w:t xml:space="preserve">% </w:t>
      </w:r>
      <w:r>
        <w:rPr>
          <w:rFonts w:hint="eastAsia" w:ascii="宋体" w:hAnsi="宋体" w:cs="Times New Roman"/>
          <w:sz w:val="28"/>
          <w:szCs w:val="28"/>
          <w:highlight w:val="none"/>
        </w:rPr>
        <w:t>。</w:t>
      </w:r>
    </w:p>
    <w:p w14:paraId="69D3DF1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10.12.1.2 </w:t>
      </w:r>
      <w:r>
        <w:rPr>
          <w:rFonts w:hint="eastAsia" w:ascii="宋体" w:hAnsi="宋体" w:cs="Times New Roman"/>
          <w:sz w:val="28"/>
          <w:szCs w:val="28"/>
          <w:highlight w:val="none"/>
        </w:rPr>
        <w:t>质量</w:t>
      </w:r>
      <w:r>
        <w:rPr>
          <w:rFonts w:ascii="宋体" w:hAnsi="宋体" w:cs="Times New Roman"/>
          <w:sz w:val="28"/>
          <w:szCs w:val="28"/>
          <w:highlight w:val="none"/>
        </w:rPr>
        <w:t>保证金的缴纳方式</w:t>
      </w:r>
    </w:p>
    <w:p w14:paraId="47860C6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乙方采用现金形式缴纳质量保证金，质量保证金在甲方向乙方支付审定结算价款的尾款时一次性扣除。</w:t>
      </w:r>
    </w:p>
    <w:p w14:paraId="7006463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10.12.1.3质量保证金的返还</w:t>
      </w:r>
    </w:p>
    <w:p w14:paraId="72A1114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（1）在</w:t>
      </w:r>
      <w:r>
        <w:rPr>
          <w:rFonts w:hint="eastAsia" w:ascii="宋体" w:hAnsi="宋体" w:cs="Times New Roman"/>
          <w:sz w:val="28"/>
          <w:szCs w:val="28"/>
          <w:highlight w:val="none"/>
        </w:rPr>
        <w:t>缺陷责任期</w:t>
      </w:r>
      <w:r>
        <w:rPr>
          <w:rFonts w:ascii="宋体" w:hAnsi="宋体" w:cs="Times New Roman"/>
          <w:sz w:val="28"/>
          <w:szCs w:val="28"/>
          <w:highlight w:val="none"/>
        </w:rPr>
        <w:t>满后，乙方向甲方申请到期应返还乙方剩余的质量保证金金额，甲方应在</w:t>
      </w:r>
      <w:r>
        <w:rPr>
          <w:rFonts w:hint="eastAsia" w:ascii="宋体" w:hAnsi="宋体" w:cs="Times New Roman"/>
          <w:sz w:val="28"/>
          <w:szCs w:val="28"/>
          <w:highlight w:val="none"/>
          <w:lang w:val="en-US" w:eastAsia="zh-CN"/>
        </w:rPr>
        <w:t>28</w:t>
      </w:r>
      <w:r>
        <w:rPr>
          <w:rFonts w:ascii="宋体" w:hAnsi="宋体" w:cs="Times New Roman"/>
          <w:sz w:val="28"/>
          <w:szCs w:val="28"/>
          <w:highlight w:val="none"/>
        </w:rPr>
        <w:t>天内会同乙方按照合同约定的内容核实乙方是否完成缺陷责任。如无异议，甲方应当在核实后将剩余保证金无息返还乙方。</w:t>
      </w:r>
    </w:p>
    <w:p w14:paraId="18937B3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（2）在</w:t>
      </w:r>
      <w:r>
        <w:rPr>
          <w:rFonts w:hint="eastAsia" w:ascii="宋体" w:hAnsi="宋体" w:cs="Times New Roman"/>
          <w:sz w:val="28"/>
          <w:szCs w:val="28"/>
          <w:highlight w:val="none"/>
        </w:rPr>
        <w:t>缺陷责任</w:t>
      </w:r>
      <w:r>
        <w:rPr>
          <w:rFonts w:ascii="宋体" w:hAnsi="宋体" w:cs="Times New Roman"/>
          <w:sz w:val="28"/>
          <w:szCs w:val="28"/>
          <w:highlight w:val="none"/>
        </w:rPr>
        <w:t xml:space="preserve">期乙方没有履行质保义务的，甲方有权扣留与未履行责任剩余工作所需金额相应的质量保证金余额。 </w:t>
      </w:r>
    </w:p>
    <w:p w14:paraId="7F3126D5">
      <w:pPr>
        <w:spacing w:line="600" w:lineRule="exact"/>
        <w:ind w:firstLine="560" w:firstLineChars="200"/>
        <w:rPr>
          <w:highlight w:val="none"/>
        </w:rPr>
      </w:pPr>
      <w:r>
        <w:rPr>
          <w:rFonts w:hint="eastAsia" w:cs="Times New Roman"/>
          <w:sz w:val="28"/>
          <w:szCs w:val="28"/>
          <w:highlight w:val="none"/>
        </w:rPr>
        <w:t>（3）</w:t>
      </w:r>
      <w:r>
        <w:rPr>
          <w:rFonts w:hint="eastAsia" w:ascii="宋体" w:hAnsi="宋体" w:cs="Times New Roman"/>
          <w:sz w:val="28"/>
          <w:szCs w:val="28"/>
          <w:highlight w:val="none"/>
        </w:rPr>
        <w:t>本项目缺陷责任</w:t>
      </w:r>
      <w:r>
        <w:rPr>
          <w:rFonts w:ascii="宋体" w:hAnsi="宋体" w:cs="Times New Roman"/>
          <w:sz w:val="28"/>
          <w:szCs w:val="28"/>
          <w:highlight w:val="none"/>
        </w:rPr>
        <w:t>期为</w:t>
      </w:r>
      <w:r>
        <w:rPr>
          <w:rFonts w:hint="eastAsia" w:ascii="宋体" w:hAnsi="宋体" w:cs="Times New Roman"/>
          <w:sz w:val="28"/>
          <w:szCs w:val="28"/>
          <w:highlight w:val="none"/>
        </w:rPr>
        <w:t>24</w:t>
      </w:r>
      <w:r>
        <w:rPr>
          <w:rFonts w:ascii="宋体" w:hAnsi="宋体" w:cs="Times New Roman"/>
          <w:sz w:val="28"/>
          <w:szCs w:val="28"/>
          <w:highlight w:val="none"/>
        </w:rPr>
        <w:t>个月，自工程</w:t>
      </w:r>
      <w:r>
        <w:rPr>
          <w:rFonts w:hint="eastAsia" w:ascii="宋体" w:hAnsi="宋体" w:cs="Times New Roman"/>
          <w:sz w:val="28"/>
          <w:szCs w:val="28"/>
          <w:highlight w:val="none"/>
          <w:lang w:val="en-US" w:eastAsia="zh-CN"/>
        </w:rPr>
        <w:t>竣工验收</w:t>
      </w:r>
      <w:r>
        <w:rPr>
          <w:rFonts w:ascii="宋体" w:hAnsi="宋体" w:cs="Times New Roman"/>
          <w:sz w:val="28"/>
          <w:szCs w:val="28"/>
          <w:highlight w:val="none"/>
        </w:rPr>
        <w:t>证书中写明的全部工程竣工</w:t>
      </w:r>
      <w:r>
        <w:rPr>
          <w:rFonts w:hint="eastAsia" w:ascii="宋体" w:hAnsi="宋体" w:cs="Times New Roman"/>
          <w:sz w:val="28"/>
          <w:szCs w:val="28"/>
          <w:highlight w:val="none"/>
        </w:rPr>
        <w:t>验收合格之</w:t>
      </w:r>
      <w:r>
        <w:rPr>
          <w:rFonts w:ascii="宋体" w:hAnsi="宋体" w:cs="Times New Roman"/>
          <w:sz w:val="28"/>
          <w:szCs w:val="28"/>
          <w:highlight w:val="none"/>
        </w:rPr>
        <w:t>日开始算起。</w:t>
      </w:r>
      <w:r>
        <w:rPr>
          <w:rFonts w:hint="eastAsia" w:ascii="宋体" w:hAnsi="宋体" w:cs="Times New Roman"/>
          <w:sz w:val="28"/>
          <w:szCs w:val="28"/>
          <w:highlight w:val="none"/>
        </w:rPr>
        <w:t>缺陷责任期满后，乙方的保修责任延续。</w:t>
      </w:r>
    </w:p>
    <w:p w14:paraId="5B37E412">
      <w:pPr>
        <w:spacing w:line="600" w:lineRule="exact"/>
        <w:ind w:firstLine="560" w:firstLineChars="200"/>
        <w:rPr>
          <w:rFonts w:hint="eastAsia" w:ascii="宋体" w:hAnsi="宋体" w:cs="Times New Roman"/>
          <w:sz w:val="28"/>
          <w:szCs w:val="28"/>
          <w:highlight w:val="none"/>
        </w:rPr>
      </w:pPr>
      <w:r>
        <w:rPr>
          <w:rFonts w:ascii="宋体" w:hAnsi="宋体" w:cs="Times New Roman"/>
          <w:sz w:val="28"/>
          <w:szCs w:val="28"/>
          <w:highlight w:val="none"/>
        </w:rPr>
        <w:t xml:space="preserve">10.12.2 </w:t>
      </w:r>
      <w:r>
        <w:rPr>
          <w:rFonts w:hint="eastAsia" w:ascii="宋体" w:hAnsi="宋体" w:cs="Times New Roman"/>
          <w:sz w:val="28"/>
          <w:szCs w:val="28"/>
          <w:highlight w:val="none"/>
        </w:rPr>
        <w:t>质量保修期</w:t>
      </w:r>
    </w:p>
    <w:p w14:paraId="0901C10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10.12.2.1 </w:t>
      </w:r>
      <w:r>
        <w:rPr>
          <w:rFonts w:hint="eastAsia" w:ascii="宋体" w:hAnsi="宋体" w:cs="Times New Roman"/>
          <w:sz w:val="28"/>
          <w:szCs w:val="28"/>
          <w:highlight w:val="none"/>
        </w:rPr>
        <w:t>本项目质量保修期按《质量保修协议书》约定执行</w:t>
      </w:r>
      <w:r>
        <w:rPr>
          <w:rFonts w:ascii="宋体" w:hAnsi="宋体" w:cs="Times New Roman"/>
          <w:sz w:val="28"/>
          <w:szCs w:val="28"/>
          <w:highlight w:val="none"/>
        </w:rPr>
        <w:t>，自工程</w:t>
      </w:r>
      <w:r>
        <w:rPr>
          <w:rFonts w:hint="eastAsia" w:ascii="宋体" w:hAnsi="宋体" w:cs="Times New Roman"/>
          <w:sz w:val="28"/>
          <w:szCs w:val="28"/>
          <w:highlight w:val="none"/>
          <w:lang w:val="en-US" w:eastAsia="zh-CN"/>
        </w:rPr>
        <w:t>竣工验收</w:t>
      </w:r>
      <w:r>
        <w:rPr>
          <w:rFonts w:ascii="宋体" w:hAnsi="宋体" w:cs="Times New Roman"/>
          <w:sz w:val="28"/>
          <w:szCs w:val="28"/>
          <w:highlight w:val="none"/>
        </w:rPr>
        <w:t>证书中写明的全部工程竣工</w:t>
      </w:r>
      <w:r>
        <w:rPr>
          <w:rFonts w:hint="eastAsia" w:ascii="宋体" w:hAnsi="宋体" w:cs="Times New Roman"/>
          <w:sz w:val="28"/>
          <w:szCs w:val="28"/>
          <w:highlight w:val="none"/>
        </w:rPr>
        <w:t>验收合格之</w:t>
      </w:r>
      <w:r>
        <w:rPr>
          <w:rFonts w:ascii="宋体" w:hAnsi="宋体" w:cs="Times New Roman"/>
          <w:sz w:val="28"/>
          <w:szCs w:val="28"/>
          <w:highlight w:val="none"/>
        </w:rPr>
        <w:t>日开始算起。在全部工程竣工验收</w:t>
      </w:r>
      <w:r>
        <w:rPr>
          <w:rFonts w:hint="eastAsia" w:ascii="宋体" w:hAnsi="宋体" w:cs="Times New Roman"/>
          <w:sz w:val="28"/>
          <w:szCs w:val="28"/>
          <w:highlight w:val="none"/>
        </w:rPr>
        <w:t>合格</w:t>
      </w:r>
      <w:r>
        <w:rPr>
          <w:rFonts w:ascii="宋体" w:hAnsi="宋体" w:cs="Times New Roman"/>
          <w:sz w:val="28"/>
          <w:szCs w:val="28"/>
          <w:highlight w:val="none"/>
        </w:rPr>
        <w:t>前，已经甲方提前验收的单位工程或部分工程，若未投入正常使用，其</w:t>
      </w:r>
      <w:r>
        <w:rPr>
          <w:rFonts w:hint="eastAsia" w:ascii="宋体" w:hAnsi="宋体" w:cs="Times New Roman"/>
          <w:sz w:val="28"/>
          <w:szCs w:val="28"/>
          <w:highlight w:val="none"/>
        </w:rPr>
        <w:t>质量保修期</w:t>
      </w:r>
      <w:r>
        <w:rPr>
          <w:rFonts w:ascii="宋体" w:hAnsi="宋体" w:cs="Times New Roman"/>
          <w:sz w:val="28"/>
          <w:szCs w:val="28"/>
          <w:highlight w:val="none"/>
        </w:rPr>
        <w:t>亦按全部工程的竣工日开始算起。</w:t>
      </w:r>
    </w:p>
    <w:p w14:paraId="204192D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10.12.3 保修责任</w:t>
      </w:r>
    </w:p>
    <w:p w14:paraId="695ED43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(1) </w:t>
      </w:r>
      <w:r>
        <w:rPr>
          <w:rFonts w:hint="eastAsia" w:ascii="宋体" w:hAnsi="宋体" w:cs="Times New Roman"/>
          <w:sz w:val="28"/>
          <w:szCs w:val="28"/>
          <w:highlight w:val="none"/>
        </w:rPr>
        <w:t>质量保修期</w:t>
      </w:r>
      <w:r>
        <w:rPr>
          <w:rFonts w:ascii="宋体" w:hAnsi="宋体" w:cs="Times New Roman"/>
          <w:sz w:val="28"/>
          <w:szCs w:val="28"/>
          <w:highlight w:val="none"/>
        </w:rPr>
        <w:t>内，乙方应负责未移交的工程和工程设备的全部日常维护和质量保修工作，对</w:t>
      </w:r>
      <w:r>
        <w:rPr>
          <w:rFonts w:hint="eastAsia" w:ascii="宋体" w:hAnsi="宋体" w:cs="Times New Roman"/>
          <w:sz w:val="28"/>
          <w:szCs w:val="28"/>
          <w:highlight w:val="none"/>
        </w:rPr>
        <w:t>已移交</w:t>
      </w:r>
      <w:r>
        <w:rPr>
          <w:rFonts w:ascii="宋体" w:hAnsi="宋体" w:cs="Times New Roman"/>
          <w:sz w:val="28"/>
          <w:szCs w:val="28"/>
          <w:highlight w:val="none"/>
        </w:rPr>
        <w:t>甲方使用的工程和工程设备，则由甲方负责日常维护工作，但乙方应</w:t>
      </w:r>
      <w:r>
        <w:rPr>
          <w:rFonts w:hint="eastAsia" w:ascii="宋体" w:hAnsi="宋体" w:cs="Times New Roman"/>
          <w:sz w:val="28"/>
          <w:szCs w:val="28"/>
          <w:highlight w:val="none"/>
        </w:rPr>
        <w:t>承担</w:t>
      </w:r>
      <w:r>
        <w:rPr>
          <w:rFonts w:hint="eastAsia" w:ascii="宋体" w:hAnsi="宋体" w:cs="Times New Roman"/>
          <w:sz w:val="28"/>
          <w:szCs w:val="28"/>
          <w:highlight w:val="none"/>
          <w:lang w:val="en-US" w:eastAsia="zh-CN"/>
        </w:rPr>
        <w:t>质量问题的</w:t>
      </w:r>
      <w:r>
        <w:rPr>
          <w:rFonts w:ascii="宋体" w:hAnsi="宋体" w:cs="Times New Roman"/>
          <w:sz w:val="28"/>
          <w:szCs w:val="28"/>
          <w:highlight w:val="none"/>
        </w:rPr>
        <w:t>修复</w:t>
      </w:r>
      <w:r>
        <w:rPr>
          <w:rFonts w:hint="eastAsia" w:ascii="宋体" w:hAnsi="宋体" w:cs="Times New Roman"/>
          <w:sz w:val="28"/>
          <w:szCs w:val="28"/>
          <w:highlight w:val="none"/>
        </w:rPr>
        <w:t>义务</w:t>
      </w:r>
      <w:r>
        <w:rPr>
          <w:rFonts w:ascii="宋体" w:hAnsi="宋体" w:cs="Times New Roman"/>
          <w:sz w:val="28"/>
          <w:szCs w:val="28"/>
          <w:highlight w:val="none"/>
        </w:rPr>
        <w:t>，直至经甲方检验合格为止。</w:t>
      </w:r>
    </w:p>
    <w:p w14:paraId="122D77E2">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（2）</w:t>
      </w:r>
      <w:r>
        <w:rPr>
          <w:rFonts w:ascii="宋体" w:hAnsi="宋体" w:cs="Times New Roman"/>
          <w:sz w:val="28"/>
          <w:szCs w:val="28"/>
          <w:highlight w:val="none"/>
        </w:rPr>
        <w:t>甲方在</w:t>
      </w:r>
      <w:r>
        <w:rPr>
          <w:rFonts w:hint="eastAsia" w:ascii="宋体" w:hAnsi="宋体" w:cs="Times New Roman"/>
          <w:sz w:val="28"/>
          <w:szCs w:val="28"/>
          <w:highlight w:val="none"/>
        </w:rPr>
        <w:t>质量保修期</w:t>
      </w:r>
      <w:r>
        <w:rPr>
          <w:rFonts w:ascii="宋体" w:hAnsi="宋体" w:cs="Times New Roman"/>
          <w:sz w:val="28"/>
          <w:szCs w:val="28"/>
          <w:highlight w:val="none"/>
        </w:rPr>
        <w:t>内使用工程和工程设备过程中，发现新的缺陷和损坏或原修复的缺陷部位或部件又遭损坏，则乙方应按甲方的指示负责修复，直至经甲方检验合格为止。甲方应会同甲方和乙方共同进行查验，若经查验确属由于乙方施工中隐存的或其它由于乙方责任造成的缺陷或损坏，应由乙方承担修复费用；若经查验确属甲方使用不当或其它由于甲方责任造成的缺陷或损坏，则应由甲方承担修复费用。</w:t>
      </w:r>
    </w:p>
    <w:p w14:paraId="4DB325A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10.12.4 保修责任终止证书</w:t>
      </w:r>
    </w:p>
    <w:p w14:paraId="2EDED9D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在整个工程</w:t>
      </w:r>
      <w:r>
        <w:rPr>
          <w:rFonts w:hint="eastAsia" w:ascii="宋体" w:hAnsi="宋体" w:cs="Times New Roman"/>
          <w:sz w:val="28"/>
          <w:szCs w:val="28"/>
          <w:highlight w:val="none"/>
        </w:rPr>
        <w:t>质量保修期</w:t>
      </w:r>
      <w:r>
        <w:rPr>
          <w:rFonts w:ascii="宋体" w:hAnsi="宋体" w:cs="Times New Roman"/>
          <w:sz w:val="28"/>
          <w:szCs w:val="28"/>
          <w:highlight w:val="none"/>
        </w:rPr>
        <w:t>满后的</w:t>
      </w:r>
      <w:r>
        <w:rPr>
          <w:rFonts w:hint="eastAsia" w:ascii="宋体" w:hAnsi="宋体" w:cs="Times New Roman"/>
          <w:sz w:val="28"/>
          <w:szCs w:val="28"/>
          <w:highlight w:val="none"/>
          <w:lang w:val="en-US" w:eastAsia="zh-CN"/>
        </w:rPr>
        <w:t>28</w:t>
      </w:r>
      <w:r>
        <w:rPr>
          <w:rFonts w:ascii="宋体" w:hAnsi="宋体" w:cs="Times New Roman"/>
          <w:sz w:val="28"/>
          <w:szCs w:val="28"/>
          <w:highlight w:val="none"/>
        </w:rPr>
        <w:t>天内，由甲方签署和颁发保修责任终止证书给乙方。若</w:t>
      </w:r>
      <w:r>
        <w:rPr>
          <w:rFonts w:hint="eastAsia" w:ascii="宋体" w:hAnsi="宋体" w:cs="Times New Roman"/>
          <w:sz w:val="28"/>
          <w:szCs w:val="28"/>
          <w:highlight w:val="none"/>
        </w:rPr>
        <w:t>质量保修期</w:t>
      </w:r>
      <w:r>
        <w:rPr>
          <w:rFonts w:ascii="宋体" w:hAnsi="宋体" w:cs="Times New Roman"/>
          <w:sz w:val="28"/>
          <w:szCs w:val="28"/>
          <w:highlight w:val="none"/>
        </w:rPr>
        <w:t>满后还有缺陷未修补，则需待乙方按甲方的要求完成质量保修工作后，再颁发保修责任终止证书。尽管颁发了保修责任终止证书，甲方和乙方均仍应对保修责任终止证书颁发前尚未履行的义务和责任负责。</w:t>
      </w:r>
    </w:p>
    <w:p w14:paraId="39B47E2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11. </w:t>
      </w:r>
      <w:r>
        <w:rPr>
          <w:rFonts w:hint="eastAsia" w:ascii="宋体" w:hAnsi="宋体" w:cs="Times New Roman"/>
          <w:sz w:val="28"/>
          <w:szCs w:val="28"/>
          <w:highlight w:val="none"/>
        </w:rPr>
        <w:t>文明</w:t>
      </w:r>
      <w:r>
        <w:rPr>
          <w:rFonts w:ascii="宋体" w:hAnsi="宋体" w:cs="Times New Roman"/>
          <w:sz w:val="28"/>
          <w:szCs w:val="28"/>
          <w:highlight w:val="none"/>
        </w:rPr>
        <w:t>、安全</w:t>
      </w:r>
      <w:r>
        <w:rPr>
          <w:rFonts w:hint="eastAsia" w:ascii="宋体" w:hAnsi="宋体" w:cs="Times New Roman"/>
          <w:sz w:val="28"/>
          <w:szCs w:val="28"/>
          <w:highlight w:val="none"/>
        </w:rPr>
        <w:t>、防汛减灾、森林防火</w:t>
      </w:r>
      <w:r>
        <w:rPr>
          <w:rFonts w:ascii="宋体" w:hAnsi="宋体" w:cs="Times New Roman"/>
          <w:sz w:val="28"/>
          <w:szCs w:val="28"/>
          <w:highlight w:val="none"/>
        </w:rPr>
        <w:t>与环境保护</w:t>
      </w:r>
    </w:p>
    <w:p w14:paraId="364C45B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11.1 文明施工</w:t>
      </w:r>
    </w:p>
    <w:p w14:paraId="18853B8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11.1.1 治安保卫</w:t>
      </w:r>
    </w:p>
    <w:p w14:paraId="1AAD8E5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甲方和乙方应教育各自的人员遵纪守法，共同维护全工地的社会治安，协助现场治安管理机构，做好各自管辖区（包括施工工地和生活区）的治安保卫工作。</w:t>
      </w:r>
    </w:p>
    <w:p w14:paraId="45444F2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11.1.2 施工安全</w:t>
      </w:r>
    </w:p>
    <w:p w14:paraId="13512EB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(1)乙方应遵守并执行甲方有关施工安全及施工现场管理的相关规定。</w:t>
      </w:r>
    </w:p>
    <w:p w14:paraId="52FC06F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（2）乙方应负责统一管理本工程的施工作业安全以及消防、防汛和抗灾等工作。甲方应按有关</w:t>
      </w:r>
      <w:r>
        <w:rPr>
          <w:rFonts w:hint="eastAsia" w:ascii="宋体" w:hAnsi="宋体" w:cs="Times New Roman"/>
          <w:sz w:val="28"/>
          <w:szCs w:val="28"/>
          <w:highlight w:val="none"/>
        </w:rPr>
        <w:t>法律法规</w:t>
      </w:r>
      <w:r>
        <w:rPr>
          <w:rFonts w:ascii="宋体" w:hAnsi="宋体" w:cs="Times New Roman"/>
          <w:sz w:val="28"/>
          <w:szCs w:val="28"/>
          <w:highlight w:val="none"/>
        </w:rPr>
        <w:t>和规章以及本合同的有关规定，检查、监督施工安全工作的实施，乙方应认真执行甲方有关安全管理工作的指示。甲方在检查中发现施工中存在不安全因素，应及时指示乙方采取有效措施予以改正，若乙方故意延误或拒绝改正时，则甲方有权责令其停工整改。</w:t>
      </w:r>
    </w:p>
    <w:p w14:paraId="4AC58E4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乙方应按合同规定履行其安全职责。乙方应设置必要的安全管理机构和配备专职的安全人员，加强对施工作业安全的管理，特别应加强易燃、易爆材料、火工器材和爆破作业的管理，制定安全操作规程，配备必要的安全生产设施和劳动保护用具，并经常对其职工进行施工安全教育。</w:t>
      </w:r>
    </w:p>
    <w:p w14:paraId="0E3F6CD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（4） 乙方应充分考虑施工现场居民的正常生活，制定专门措施保证居民的安全。如果乙方安全文明施工工作不合格，被甲方、行政主管部门查处，被市民、领导、媒体举报属实，每发生一次乙方向甲方支付违约金</w:t>
      </w:r>
      <w:r>
        <w:rPr>
          <w:rFonts w:hint="eastAsia" w:ascii="宋体" w:hAnsi="宋体" w:cs="Times New Roman"/>
          <w:sz w:val="28"/>
          <w:szCs w:val="28"/>
          <w:highlight w:val="none"/>
          <w:lang w:val="en-US" w:eastAsia="zh-CN"/>
        </w:rPr>
        <w:t>3</w:t>
      </w:r>
      <w:r>
        <w:rPr>
          <w:rFonts w:ascii="宋体" w:hAnsi="宋体" w:cs="Times New Roman"/>
          <w:sz w:val="28"/>
          <w:szCs w:val="28"/>
          <w:highlight w:val="none"/>
        </w:rPr>
        <w:t>000元，情节严重的甲方有权</w:t>
      </w:r>
      <w:r>
        <w:rPr>
          <w:rFonts w:hint="eastAsia" w:ascii="宋体" w:hAnsi="宋体" w:cs="Times New Roman"/>
          <w:sz w:val="28"/>
          <w:szCs w:val="28"/>
          <w:highlight w:val="none"/>
        </w:rPr>
        <w:t>解除</w:t>
      </w:r>
      <w:r>
        <w:rPr>
          <w:rFonts w:ascii="宋体" w:hAnsi="宋体" w:cs="Times New Roman"/>
          <w:sz w:val="28"/>
          <w:szCs w:val="28"/>
          <w:highlight w:val="none"/>
        </w:rPr>
        <w:t>合同。</w:t>
      </w:r>
    </w:p>
    <w:p w14:paraId="0E29431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 乙方安全文明施工、扬尘治理未达到省、市的有关规定要求，甲方有权暂不支付安全文明施工措施费，除乙方接受国家、地方相关部门处罚外，还需承担违约责任。若施工单位违反有关安全文明施工、扬尘治理的有关规定，每发现一次，甲方对乙方处以1万元整的违约金，情节严重的可</w:t>
      </w:r>
      <w:r>
        <w:rPr>
          <w:rFonts w:hint="eastAsia" w:ascii="宋体" w:hAnsi="宋体" w:cs="Times New Roman"/>
          <w:sz w:val="28"/>
          <w:szCs w:val="28"/>
          <w:highlight w:val="none"/>
        </w:rPr>
        <w:t>解除</w:t>
      </w:r>
      <w:r>
        <w:rPr>
          <w:rFonts w:ascii="宋体" w:hAnsi="宋体" w:cs="Times New Roman"/>
          <w:sz w:val="28"/>
          <w:szCs w:val="28"/>
          <w:highlight w:val="none"/>
        </w:rPr>
        <w:t>合同。</w:t>
      </w:r>
    </w:p>
    <w:p w14:paraId="156E6A6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 若乙方违反有关安全文明施工、扬尘治理的有关规定，工地打围、沟槽开挖支护、防洪措施不到位、工地环境差，每发现一处乙方向甲方</w:t>
      </w:r>
      <w:r>
        <w:rPr>
          <w:rFonts w:hint="eastAsia" w:ascii="宋体" w:hAnsi="宋体" w:cs="Times New Roman"/>
          <w:sz w:val="28"/>
          <w:szCs w:val="28"/>
          <w:highlight w:val="none"/>
        </w:rPr>
        <w:t>缴纳</w:t>
      </w:r>
      <w:r>
        <w:rPr>
          <w:rFonts w:ascii="宋体" w:hAnsi="宋体" w:cs="Times New Roman"/>
          <w:sz w:val="28"/>
          <w:szCs w:val="28"/>
          <w:highlight w:val="none"/>
        </w:rPr>
        <w:t>违约金</w:t>
      </w:r>
      <w:r>
        <w:rPr>
          <w:rFonts w:hint="eastAsia" w:ascii="宋体" w:hAnsi="宋体" w:cs="Times New Roman"/>
          <w:sz w:val="28"/>
          <w:szCs w:val="28"/>
          <w:highlight w:val="none"/>
          <w:lang w:val="en-US" w:eastAsia="zh-CN"/>
        </w:rPr>
        <w:t>3</w:t>
      </w:r>
      <w:r>
        <w:rPr>
          <w:rFonts w:ascii="宋体" w:hAnsi="宋体" w:cs="Times New Roman"/>
          <w:sz w:val="28"/>
          <w:szCs w:val="28"/>
          <w:highlight w:val="none"/>
        </w:rPr>
        <w:t>000-</w:t>
      </w:r>
      <w:r>
        <w:rPr>
          <w:rFonts w:hint="eastAsia" w:ascii="宋体" w:hAnsi="宋体" w:cs="Times New Roman"/>
          <w:sz w:val="28"/>
          <w:szCs w:val="28"/>
          <w:highlight w:val="none"/>
          <w:lang w:val="en-US" w:eastAsia="zh-CN"/>
        </w:rPr>
        <w:t>6</w:t>
      </w:r>
      <w:r>
        <w:rPr>
          <w:rFonts w:ascii="宋体" w:hAnsi="宋体" w:cs="Times New Roman"/>
          <w:sz w:val="28"/>
          <w:szCs w:val="28"/>
          <w:highlight w:val="none"/>
        </w:rPr>
        <w:t>000元，并承担相应经济损失，情节严重的</w:t>
      </w:r>
      <w:r>
        <w:rPr>
          <w:rFonts w:hint="eastAsia" w:ascii="宋体" w:hAnsi="宋体" w:cs="Times New Roman"/>
          <w:sz w:val="28"/>
          <w:szCs w:val="28"/>
          <w:highlight w:val="none"/>
        </w:rPr>
        <w:t>甲方</w:t>
      </w:r>
      <w:r>
        <w:rPr>
          <w:rFonts w:ascii="宋体" w:hAnsi="宋体" w:cs="Times New Roman"/>
          <w:sz w:val="28"/>
          <w:szCs w:val="28"/>
          <w:highlight w:val="none"/>
        </w:rPr>
        <w:t>可</w:t>
      </w:r>
      <w:r>
        <w:rPr>
          <w:rFonts w:hint="eastAsia" w:ascii="宋体" w:hAnsi="宋体" w:cs="Times New Roman"/>
          <w:sz w:val="28"/>
          <w:szCs w:val="28"/>
          <w:highlight w:val="none"/>
        </w:rPr>
        <w:t>解除</w:t>
      </w:r>
      <w:r>
        <w:rPr>
          <w:rFonts w:ascii="宋体" w:hAnsi="宋体" w:cs="Times New Roman"/>
          <w:sz w:val="28"/>
          <w:szCs w:val="28"/>
          <w:highlight w:val="none"/>
        </w:rPr>
        <w:t>合同。</w:t>
      </w:r>
    </w:p>
    <w:p w14:paraId="3C10EF2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 若乙方野蛮施工挖断煤气、自来水管或造成通电、通气、通讯、通水线路中断，每发生一次乙方向甲方</w:t>
      </w:r>
      <w:r>
        <w:rPr>
          <w:rFonts w:hint="eastAsia" w:ascii="宋体" w:hAnsi="宋体" w:cs="Times New Roman"/>
          <w:sz w:val="28"/>
          <w:szCs w:val="28"/>
          <w:highlight w:val="none"/>
        </w:rPr>
        <w:t>缴纳</w:t>
      </w:r>
      <w:r>
        <w:rPr>
          <w:rFonts w:ascii="宋体" w:hAnsi="宋体" w:cs="Times New Roman"/>
          <w:sz w:val="28"/>
          <w:szCs w:val="28"/>
          <w:highlight w:val="none"/>
        </w:rPr>
        <w:t>违约金</w:t>
      </w:r>
      <w:r>
        <w:rPr>
          <w:rFonts w:hint="eastAsia" w:ascii="宋体" w:hAnsi="宋体" w:cs="Times New Roman"/>
          <w:sz w:val="28"/>
          <w:szCs w:val="28"/>
          <w:highlight w:val="none"/>
          <w:lang w:val="en-US" w:eastAsia="zh-CN"/>
        </w:rPr>
        <w:t>3</w:t>
      </w:r>
      <w:r>
        <w:rPr>
          <w:rFonts w:ascii="宋体" w:hAnsi="宋体" w:cs="Times New Roman"/>
          <w:sz w:val="28"/>
          <w:szCs w:val="28"/>
          <w:highlight w:val="none"/>
        </w:rPr>
        <w:t>000-</w:t>
      </w:r>
      <w:r>
        <w:rPr>
          <w:rFonts w:hint="eastAsia" w:ascii="宋体" w:hAnsi="宋体" w:cs="Times New Roman"/>
          <w:sz w:val="28"/>
          <w:szCs w:val="28"/>
          <w:highlight w:val="none"/>
          <w:lang w:val="en-US" w:eastAsia="zh-CN"/>
        </w:rPr>
        <w:t>6</w:t>
      </w:r>
      <w:r>
        <w:rPr>
          <w:rFonts w:ascii="宋体" w:hAnsi="宋体" w:cs="Times New Roman"/>
          <w:sz w:val="28"/>
          <w:szCs w:val="28"/>
          <w:highlight w:val="none"/>
        </w:rPr>
        <w:t>000元，并承担相应经济损失，情节严重的</w:t>
      </w:r>
      <w:r>
        <w:rPr>
          <w:rFonts w:hint="eastAsia" w:ascii="宋体" w:hAnsi="宋体" w:cs="Times New Roman"/>
          <w:sz w:val="28"/>
          <w:szCs w:val="28"/>
          <w:highlight w:val="none"/>
        </w:rPr>
        <w:t>甲方</w:t>
      </w:r>
      <w:r>
        <w:rPr>
          <w:rFonts w:ascii="宋体" w:hAnsi="宋体" w:cs="Times New Roman"/>
          <w:sz w:val="28"/>
          <w:szCs w:val="28"/>
          <w:highlight w:val="none"/>
        </w:rPr>
        <w:t>可</w:t>
      </w:r>
      <w:r>
        <w:rPr>
          <w:rFonts w:hint="eastAsia" w:ascii="宋体" w:hAnsi="宋体" w:cs="Times New Roman"/>
          <w:sz w:val="28"/>
          <w:szCs w:val="28"/>
          <w:highlight w:val="none"/>
        </w:rPr>
        <w:t>解除</w:t>
      </w:r>
      <w:r>
        <w:rPr>
          <w:rFonts w:ascii="宋体" w:hAnsi="宋体" w:cs="Times New Roman"/>
          <w:sz w:val="28"/>
          <w:szCs w:val="28"/>
          <w:highlight w:val="none"/>
        </w:rPr>
        <w:t>合同。</w:t>
      </w:r>
    </w:p>
    <w:p w14:paraId="348CABB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 乙方不按有关部门安全文明施工文件的规定执行，造成的一切损失和后果由乙方负责。</w:t>
      </w:r>
    </w:p>
    <w:p w14:paraId="4DD9A96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11.2 环境保护</w:t>
      </w:r>
    </w:p>
    <w:p w14:paraId="30A9C19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11.2.1 环境保护责任</w:t>
      </w:r>
    </w:p>
    <w:p w14:paraId="3D6D4E9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乙方在施工过程中，应遵守有关环境保护的</w:t>
      </w:r>
      <w:r>
        <w:rPr>
          <w:rFonts w:hint="eastAsia" w:ascii="宋体" w:hAnsi="宋体" w:cs="Times New Roman"/>
          <w:sz w:val="28"/>
          <w:szCs w:val="28"/>
          <w:highlight w:val="none"/>
        </w:rPr>
        <w:t>法律法规</w:t>
      </w:r>
      <w:r>
        <w:rPr>
          <w:rFonts w:ascii="宋体" w:hAnsi="宋体" w:cs="Times New Roman"/>
          <w:sz w:val="28"/>
          <w:szCs w:val="28"/>
          <w:highlight w:val="none"/>
        </w:rPr>
        <w:t>和规章及本合同的有关规定，并应对其违反上述法规</w:t>
      </w:r>
      <w:r>
        <w:rPr>
          <w:rFonts w:hint="eastAsia" w:ascii="宋体" w:hAnsi="宋体" w:cs="Times New Roman"/>
          <w:sz w:val="28"/>
          <w:szCs w:val="28"/>
          <w:highlight w:val="none"/>
          <w:lang w:val="en-US" w:eastAsia="zh-CN"/>
        </w:rPr>
        <w:t>和</w:t>
      </w:r>
      <w:r>
        <w:rPr>
          <w:rFonts w:ascii="宋体" w:hAnsi="宋体" w:cs="Times New Roman"/>
          <w:sz w:val="28"/>
          <w:szCs w:val="28"/>
          <w:highlight w:val="none"/>
        </w:rPr>
        <w:t>规章和本合同规定所造成的环境破坏以及人员伤害和财产损失负责。</w:t>
      </w:r>
    </w:p>
    <w:p w14:paraId="401D816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11.2.2 采取合理的措施保护环境</w:t>
      </w:r>
    </w:p>
    <w:p w14:paraId="4556AD7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乙方应在其编报的施工组织设计中，做好施工弃渣的处理措施，严格按批准的弃渣规划有序地堆放和利用弃渣，防止任意堆放弃渣降低河道的行洪能力和影响其它分包单位的施工和危及下游居民的安全。</w:t>
      </w:r>
    </w:p>
    <w:p w14:paraId="1E1888A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乙方应按合同规定采取有效措施对施工开挖的边坡及时进行支护和做好排水措施，避免由于施工造成的水土流失。</w:t>
      </w:r>
    </w:p>
    <w:p w14:paraId="581F4D5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乙方在施工过程中应采取有效措施，注意保护饮用水源免受施工活动造成的污染。</w:t>
      </w:r>
    </w:p>
    <w:p w14:paraId="1FAA893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(4) 乙方应按相关规定，加强对噪声、粉尘、废气、废水的控制和治理，努力降低噪声，控制粉尘和废气浓度以及做好废水和废油的治理和排放。</w:t>
      </w:r>
    </w:p>
    <w:p w14:paraId="642EA8C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 乙方应保持施工区和生活区的环境卫生，及时清除垃圾和废弃物，并运至指定的地点堆放和处理。进入现场的材料、设备必须置放有序，防止任意堆放器材、杂物阻塞工作场地周围的通道和破坏环境。</w:t>
      </w:r>
    </w:p>
    <w:p w14:paraId="34B97A1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 乙方应合理安排施工作业时间，尽量避免施工噪音、扬尘对居民正常生活的影响。</w:t>
      </w:r>
    </w:p>
    <w:p w14:paraId="3CF69F5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11.</w:t>
      </w:r>
      <w:r>
        <w:rPr>
          <w:rFonts w:hint="eastAsia" w:ascii="宋体" w:hAnsi="宋体" w:cs="Times New Roman"/>
          <w:sz w:val="28"/>
          <w:szCs w:val="28"/>
          <w:highlight w:val="none"/>
        </w:rPr>
        <w:t>3</w:t>
      </w:r>
      <w:r>
        <w:rPr>
          <w:rFonts w:ascii="宋体" w:hAnsi="宋体" w:cs="Times New Roman"/>
          <w:sz w:val="28"/>
          <w:szCs w:val="28"/>
          <w:highlight w:val="none"/>
        </w:rPr>
        <w:t xml:space="preserve"> </w:t>
      </w:r>
      <w:r>
        <w:rPr>
          <w:rFonts w:hint="eastAsia" w:ascii="宋体" w:hAnsi="宋体" w:cs="Times New Roman"/>
          <w:sz w:val="28"/>
          <w:szCs w:val="28"/>
          <w:highlight w:val="none"/>
        </w:rPr>
        <w:t>防汛减灾</w:t>
      </w:r>
    </w:p>
    <w:p w14:paraId="313B76A8">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11.3.1</w:t>
      </w:r>
      <w:r>
        <w:rPr>
          <w:rFonts w:ascii="宋体" w:hAnsi="宋体" w:cs="Times New Roman"/>
          <w:sz w:val="28"/>
          <w:szCs w:val="28"/>
          <w:highlight w:val="none"/>
        </w:rPr>
        <w:t>转移避险要求</w:t>
      </w:r>
    </w:p>
    <w:p w14:paraId="693CDF59">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乙方应</w:t>
      </w:r>
      <w:r>
        <w:rPr>
          <w:rFonts w:ascii="宋体" w:hAnsi="宋体" w:cs="Times New Roman"/>
          <w:sz w:val="28"/>
          <w:szCs w:val="28"/>
          <w:highlight w:val="none"/>
        </w:rPr>
        <w:t>健全完善转移避险决策机制，严格落实“3人1屋”制度。</w:t>
      </w:r>
      <w:r>
        <w:rPr>
          <w:rFonts w:hint="eastAsia" w:ascii="宋体" w:hAnsi="宋体" w:cs="Times New Roman"/>
          <w:sz w:val="28"/>
          <w:szCs w:val="28"/>
          <w:highlight w:val="none"/>
        </w:rPr>
        <w:t>凡涉及搭建</w:t>
      </w:r>
      <w:r>
        <w:rPr>
          <w:rFonts w:ascii="宋体" w:hAnsi="宋体" w:cs="Times New Roman"/>
          <w:sz w:val="28"/>
          <w:szCs w:val="28"/>
          <w:highlight w:val="none"/>
        </w:rPr>
        <w:t>工棚营地</w:t>
      </w:r>
      <w:r>
        <w:rPr>
          <w:rFonts w:hint="eastAsia" w:ascii="宋体" w:hAnsi="宋体" w:cs="Times New Roman"/>
          <w:sz w:val="28"/>
          <w:szCs w:val="28"/>
          <w:highlight w:val="none"/>
        </w:rPr>
        <w:t>的在建项目</w:t>
      </w:r>
      <w:r>
        <w:rPr>
          <w:rFonts w:ascii="宋体" w:hAnsi="宋体" w:cs="Times New Roman"/>
          <w:sz w:val="28"/>
          <w:szCs w:val="28"/>
          <w:highlight w:val="none"/>
        </w:rPr>
        <w:t>必须按照“AB”岗要求，逐一落实：转移避险“指挥责任人”、避险过程“监管责任人”、安置管理“责任人”（3人），建好安置过渡的“安全屋”（1屋），建立责任人清单台账，确保3类责任人汛期每天24小时在工地营地履职。</w:t>
      </w:r>
    </w:p>
    <w:p w14:paraId="5C1FDDE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一旦收到属地</w:t>
      </w:r>
      <w:r>
        <w:rPr>
          <w:rFonts w:hint="eastAsia" w:ascii="宋体" w:hAnsi="宋体" w:cs="Times New Roman"/>
          <w:sz w:val="28"/>
          <w:szCs w:val="28"/>
          <w:highlight w:val="none"/>
        </w:rPr>
        <w:t>政府及相关部门的</w:t>
      </w:r>
      <w:r>
        <w:rPr>
          <w:rFonts w:ascii="宋体" w:hAnsi="宋体" w:cs="Times New Roman"/>
          <w:sz w:val="28"/>
          <w:szCs w:val="28"/>
          <w:highlight w:val="none"/>
        </w:rPr>
        <w:t>转移指令、发现险情征兆或险情不能准确研判或遇重大险情或突发情况等，按照“先转移后报告、边转移边报告”原则，立即组织撤离</w:t>
      </w:r>
      <w:r>
        <w:rPr>
          <w:rFonts w:hint="eastAsia" w:ascii="宋体" w:hAnsi="宋体" w:cs="Times New Roman"/>
          <w:sz w:val="28"/>
          <w:szCs w:val="28"/>
          <w:highlight w:val="none"/>
        </w:rPr>
        <w:t>并告知甲方</w:t>
      </w:r>
      <w:r>
        <w:rPr>
          <w:rFonts w:ascii="宋体" w:hAnsi="宋体" w:cs="Times New Roman"/>
          <w:sz w:val="28"/>
          <w:szCs w:val="28"/>
          <w:highlight w:val="none"/>
        </w:rPr>
        <w:t>。</w:t>
      </w:r>
    </w:p>
    <w:p w14:paraId="35EE36C0">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11.3.2</w:t>
      </w:r>
      <w:r>
        <w:rPr>
          <w:rFonts w:ascii="宋体" w:hAnsi="宋体" w:cs="Times New Roman"/>
          <w:sz w:val="28"/>
          <w:szCs w:val="28"/>
          <w:highlight w:val="none"/>
        </w:rPr>
        <w:t>三个避让，三个紧急撤离原则</w:t>
      </w:r>
    </w:p>
    <w:p w14:paraId="4B6CB08A">
      <w:pPr>
        <w:widowControl/>
        <w:spacing w:line="600" w:lineRule="exact"/>
        <w:ind w:firstLine="560" w:firstLineChars="200"/>
        <w:jc w:val="left"/>
        <w:rPr>
          <w:rFonts w:ascii="宋体" w:hAnsi="宋体" w:cs="Times New Roman"/>
          <w:sz w:val="28"/>
          <w:szCs w:val="28"/>
          <w:highlight w:val="none"/>
        </w:rPr>
      </w:pPr>
      <w:r>
        <w:rPr>
          <w:rFonts w:hint="eastAsia" w:ascii="宋体" w:hAnsi="宋体" w:cs="Times New Roman"/>
          <w:sz w:val="28"/>
          <w:szCs w:val="28"/>
          <w:highlight w:val="none"/>
        </w:rPr>
        <w:t>乙方</w:t>
      </w:r>
      <w:r>
        <w:rPr>
          <w:rFonts w:ascii="宋体" w:hAnsi="宋体" w:cs="Times New Roman"/>
          <w:sz w:val="28"/>
          <w:szCs w:val="28"/>
          <w:highlight w:val="none"/>
        </w:rPr>
        <w:t>对洪涝、滑坡、泥石流、地震等自然灾害，要建立预警预防机制，要坚决落实“三个避让”（主动避让、提前避让、预防避让）和“三个紧急撤离”（危险隐患点强降雨时紧急撤离、隐患点发生异常险情时紧急撤离、对隐患点险情不能正确研判时紧急撤离）；对</w:t>
      </w:r>
      <w:r>
        <w:rPr>
          <w:rFonts w:hint="eastAsia" w:ascii="宋体" w:hAnsi="宋体" w:cs="Times New Roman"/>
          <w:sz w:val="28"/>
          <w:szCs w:val="28"/>
          <w:highlight w:val="none"/>
        </w:rPr>
        <w:t>作业</w:t>
      </w:r>
      <w:r>
        <w:rPr>
          <w:rFonts w:ascii="宋体" w:hAnsi="宋体" w:cs="Times New Roman"/>
          <w:sz w:val="28"/>
          <w:szCs w:val="28"/>
          <w:highlight w:val="none"/>
        </w:rPr>
        <w:t>现场高风险的部位、环节进行重点监控。</w:t>
      </w:r>
    </w:p>
    <w:p w14:paraId="48C0CD09">
      <w:pPr>
        <w:widowControl/>
        <w:spacing w:line="600" w:lineRule="exact"/>
        <w:ind w:firstLine="560" w:firstLineChars="200"/>
        <w:jc w:val="left"/>
        <w:rPr>
          <w:rFonts w:ascii="宋体" w:hAnsi="宋体" w:cs="Times New Roman"/>
          <w:sz w:val="28"/>
          <w:szCs w:val="28"/>
          <w:highlight w:val="none"/>
        </w:rPr>
      </w:pPr>
      <w:r>
        <w:rPr>
          <w:rFonts w:hint="eastAsia" w:ascii="宋体" w:hAnsi="宋体" w:cs="Times New Roman"/>
          <w:sz w:val="28"/>
          <w:szCs w:val="28"/>
          <w:highlight w:val="none"/>
        </w:rPr>
        <w:t>11.3.3</w:t>
      </w:r>
      <w:r>
        <w:rPr>
          <w:rFonts w:ascii="宋体" w:hAnsi="宋体" w:cs="Times New Roman"/>
          <w:sz w:val="28"/>
          <w:szCs w:val="28"/>
          <w:highlight w:val="none"/>
        </w:rPr>
        <w:t>汛期安全防范七条刚性措施</w:t>
      </w:r>
    </w:p>
    <w:p w14:paraId="5B651732">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甲乙双方应做到：</w:t>
      </w:r>
      <w:r>
        <w:rPr>
          <w:rFonts w:ascii="宋体" w:hAnsi="宋体" w:cs="Times New Roman"/>
          <w:sz w:val="28"/>
          <w:szCs w:val="28"/>
          <w:highlight w:val="none"/>
        </w:rPr>
        <w:t>坚决坚持党的领导</w:t>
      </w:r>
      <w:r>
        <w:rPr>
          <w:rFonts w:hint="eastAsia" w:ascii="宋体" w:hAnsi="宋体" w:cs="Times New Roman"/>
          <w:sz w:val="28"/>
          <w:szCs w:val="28"/>
          <w:highlight w:val="none"/>
        </w:rPr>
        <w:t>；</w:t>
      </w:r>
      <w:r>
        <w:rPr>
          <w:rFonts w:ascii="宋体" w:hAnsi="宋体" w:cs="Times New Roman"/>
          <w:sz w:val="28"/>
          <w:szCs w:val="28"/>
          <w:highlight w:val="none"/>
        </w:rPr>
        <w:t>坚决整改风险隐患</w:t>
      </w:r>
      <w:r>
        <w:rPr>
          <w:rFonts w:hint="eastAsia" w:ascii="宋体" w:hAnsi="宋体" w:cs="Times New Roman"/>
          <w:sz w:val="28"/>
          <w:szCs w:val="28"/>
          <w:highlight w:val="none"/>
        </w:rPr>
        <w:t>；</w:t>
      </w:r>
      <w:r>
        <w:rPr>
          <w:rFonts w:ascii="宋体" w:hAnsi="宋体" w:cs="Times New Roman"/>
          <w:sz w:val="28"/>
          <w:szCs w:val="28"/>
          <w:highlight w:val="none"/>
        </w:rPr>
        <w:t>坚决做到信息快报</w:t>
      </w:r>
      <w:r>
        <w:rPr>
          <w:rFonts w:hint="eastAsia" w:ascii="宋体" w:hAnsi="宋体" w:cs="Times New Roman"/>
          <w:sz w:val="28"/>
          <w:szCs w:val="28"/>
          <w:highlight w:val="none"/>
        </w:rPr>
        <w:t>；</w:t>
      </w:r>
      <w:r>
        <w:rPr>
          <w:rFonts w:ascii="宋体" w:hAnsi="宋体" w:cs="Times New Roman"/>
          <w:sz w:val="28"/>
          <w:szCs w:val="28"/>
          <w:highlight w:val="none"/>
        </w:rPr>
        <w:t>坚决压实各方责任</w:t>
      </w:r>
      <w:r>
        <w:rPr>
          <w:rFonts w:hint="eastAsia" w:ascii="宋体" w:hAnsi="宋体" w:cs="Times New Roman"/>
          <w:sz w:val="28"/>
          <w:szCs w:val="28"/>
          <w:highlight w:val="none"/>
        </w:rPr>
        <w:t>；</w:t>
      </w:r>
      <w:r>
        <w:rPr>
          <w:rFonts w:ascii="宋体" w:hAnsi="宋体" w:cs="Times New Roman"/>
          <w:sz w:val="28"/>
          <w:szCs w:val="28"/>
          <w:highlight w:val="none"/>
        </w:rPr>
        <w:t>坚决做到避险快撤</w:t>
      </w:r>
      <w:r>
        <w:rPr>
          <w:rFonts w:hint="eastAsia" w:ascii="宋体" w:hAnsi="宋体" w:cs="Times New Roman"/>
          <w:sz w:val="28"/>
          <w:szCs w:val="28"/>
          <w:highlight w:val="none"/>
        </w:rPr>
        <w:t>；</w:t>
      </w:r>
      <w:r>
        <w:rPr>
          <w:rFonts w:ascii="宋体" w:hAnsi="宋体" w:cs="Times New Roman"/>
          <w:sz w:val="28"/>
          <w:szCs w:val="28"/>
          <w:highlight w:val="none"/>
        </w:rPr>
        <w:t>坚决落实安全评估</w:t>
      </w:r>
      <w:r>
        <w:rPr>
          <w:rFonts w:hint="eastAsia" w:ascii="宋体" w:hAnsi="宋体" w:cs="Times New Roman"/>
          <w:sz w:val="28"/>
          <w:szCs w:val="28"/>
          <w:highlight w:val="none"/>
        </w:rPr>
        <w:t>；</w:t>
      </w:r>
      <w:r>
        <w:rPr>
          <w:rFonts w:ascii="宋体" w:hAnsi="宋体" w:cs="Times New Roman"/>
          <w:sz w:val="28"/>
          <w:szCs w:val="28"/>
          <w:highlight w:val="none"/>
        </w:rPr>
        <w:t>坚决严肃追责问责</w:t>
      </w:r>
      <w:r>
        <w:rPr>
          <w:rFonts w:hint="eastAsia" w:ascii="宋体" w:hAnsi="宋体" w:cs="Times New Roman"/>
          <w:sz w:val="28"/>
          <w:szCs w:val="28"/>
          <w:highlight w:val="none"/>
        </w:rPr>
        <w:t>。</w:t>
      </w:r>
      <w:r>
        <w:rPr>
          <w:rFonts w:ascii="宋体" w:hAnsi="宋体" w:cs="Times New Roman"/>
          <w:sz w:val="28"/>
          <w:szCs w:val="28"/>
          <w:highlight w:val="none"/>
        </w:rPr>
        <w:t xml:space="preserve"> </w:t>
      </w:r>
    </w:p>
    <w:p w14:paraId="01176C75">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11.3.4</w:t>
      </w:r>
      <w:r>
        <w:rPr>
          <w:rFonts w:ascii="宋体" w:hAnsi="宋体" w:cs="Times New Roman"/>
          <w:sz w:val="28"/>
          <w:szCs w:val="28"/>
          <w:highlight w:val="none"/>
        </w:rPr>
        <w:t>施工驻地</w:t>
      </w:r>
    </w:p>
    <w:p w14:paraId="36DA0A9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第一条 </w:t>
      </w:r>
      <w:r>
        <w:rPr>
          <w:rFonts w:hint="eastAsia" w:ascii="宋体" w:hAnsi="宋体" w:cs="Times New Roman"/>
          <w:sz w:val="28"/>
          <w:szCs w:val="28"/>
          <w:highlight w:val="none"/>
        </w:rPr>
        <w:t>乙方</w:t>
      </w:r>
      <w:r>
        <w:rPr>
          <w:rFonts w:ascii="宋体" w:hAnsi="宋体" w:cs="Times New Roman"/>
          <w:sz w:val="28"/>
          <w:szCs w:val="28"/>
          <w:highlight w:val="none"/>
        </w:rPr>
        <w:t>施工驻地</w:t>
      </w:r>
      <w:r>
        <w:rPr>
          <w:rFonts w:hint="eastAsia" w:ascii="宋体" w:hAnsi="宋体" w:cs="Times New Roman"/>
          <w:sz w:val="28"/>
          <w:szCs w:val="28"/>
          <w:highlight w:val="none"/>
          <w:lang w:val="en-US" w:eastAsia="zh-CN"/>
        </w:rPr>
        <w:t>新建</w:t>
      </w:r>
      <w:r>
        <w:rPr>
          <w:rFonts w:ascii="宋体" w:hAnsi="宋体" w:cs="Times New Roman"/>
          <w:sz w:val="28"/>
          <w:szCs w:val="28"/>
          <w:highlight w:val="none"/>
        </w:rPr>
        <w:t>选址</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应由乙方设计，在建设前期</w:t>
      </w:r>
      <w:r>
        <w:rPr>
          <w:rFonts w:ascii="宋体" w:hAnsi="宋体" w:cs="Times New Roman"/>
          <w:sz w:val="28"/>
          <w:szCs w:val="28"/>
          <w:highlight w:val="none"/>
        </w:rPr>
        <w:t>编制专项方案，确保满足消防及防洪、防泥石流、防滑坡、防坍塌、防风、防雷电、防中毒、防雪灾等防灾安全要求，经洪涝、地质灾害危险性评估，并由</w:t>
      </w:r>
      <w:r>
        <w:rPr>
          <w:rFonts w:hint="eastAsia" w:ascii="宋体" w:hAnsi="宋体" w:cs="Times New Roman"/>
          <w:sz w:val="28"/>
          <w:szCs w:val="28"/>
          <w:highlight w:val="none"/>
        </w:rPr>
        <w:t>乙方单位</w:t>
      </w:r>
      <w:r>
        <w:rPr>
          <w:rFonts w:ascii="宋体" w:hAnsi="宋体" w:cs="Times New Roman"/>
          <w:sz w:val="28"/>
          <w:szCs w:val="28"/>
          <w:highlight w:val="none"/>
        </w:rPr>
        <w:t>组织，</w:t>
      </w:r>
      <w:r>
        <w:rPr>
          <w:rFonts w:hint="eastAsia" w:ascii="宋体" w:hAnsi="宋体" w:cs="Times New Roman"/>
          <w:sz w:val="28"/>
          <w:szCs w:val="28"/>
          <w:highlight w:val="none"/>
        </w:rPr>
        <w:t>甲方单位</w:t>
      </w:r>
      <w:r>
        <w:rPr>
          <w:rFonts w:ascii="宋体" w:hAnsi="宋体" w:cs="Times New Roman"/>
          <w:sz w:val="28"/>
          <w:szCs w:val="28"/>
          <w:highlight w:val="none"/>
        </w:rPr>
        <w:t>、设计单位、监理单位参加，对专项方案进行评审通过后，严格按方案组织实施，验收合格投入使用。</w:t>
      </w:r>
    </w:p>
    <w:p w14:paraId="33BC7DC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第二条 </w:t>
      </w:r>
      <w:r>
        <w:rPr>
          <w:rFonts w:hint="eastAsia" w:ascii="宋体" w:hAnsi="宋体" w:cs="Times New Roman"/>
          <w:sz w:val="28"/>
          <w:szCs w:val="28"/>
          <w:highlight w:val="none"/>
        </w:rPr>
        <w:t>乙方</w:t>
      </w:r>
      <w:r>
        <w:rPr>
          <w:rFonts w:ascii="宋体" w:hAnsi="宋体" w:cs="Times New Roman"/>
          <w:sz w:val="28"/>
          <w:szCs w:val="28"/>
          <w:highlight w:val="none"/>
        </w:rPr>
        <w:t>施工驻地(含租用)必须建立和完善安全风险管控制度，至少每</w:t>
      </w:r>
      <w:r>
        <w:rPr>
          <w:rFonts w:hint="eastAsia" w:ascii="宋体" w:hAnsi="宋体" w:cs="Times New Roman"/>
          <w:sz w:val="28"/>
          <w:szCs w:val="28"/>
          <w:highlight w:val="none"/>
        </w:rPr>
        <w:t>月</w:t>
      </w:r>
      <w:r>
        <w:rPr>
          <w:rFonts w:ascii="宋体" w:hAnsi="宋体" w:cs="Times New Roman"/>
          <w:sz w:val="28"/>
          <w:szCs w:val="28"/>
          <w:highlight w:val="none"/>
        </w:rPr>
        <w:t>开展一次风险自评价，建立风险台账，定期开展安全检查，并开展驻地周边延伸排查。驻地周边</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约定范围</w:t>
      </w:r>
      <w:r>
        <w:rPr>
          <w:rFonts w:hint="eastAsia" w:ascii="宋体" w:hAnsi="宋体" w:cs="Times New Roman"/>
          <w:sz w:val="28"/>
          <w:szCs w:val="28"/>
          <w:highlight w:val="none"/>
          <w:lang w:eastAsia="zh-CN"/>
        </w:rPr>
        <w:t>）</w:t>
      </w:r>
      <w:r>
        <w:rPr>
          <w:rFonts w:ascii="宋体" w:hAnsi="宋体" w:cs="Times New Roman"/>
          <w:sz w:val="28"/>
          <w:szCs w:val="28"/>
          <w:highlight w:val="none"/>
        </w:rPr>
        <w:t>环境条件发生变化，应立即开展风险评估，并落实安全防范措施。</w:t>
      </w:r>
    </w:p>
    <w:p w14:paraId="0FFA28D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第三条 </w:t>
      </w:r>
      <w:r>
        <w:rPr>
          <w:rFonts w:hint="eastAsia" w:ascii="宋体" w:hAnsi="宋体" w:cs="Times New Roman"/>
          <w:sz w:val="28"/>
          <w:szCs w:val="28"/>
          <w:highlight w:val="none"/>
        </w:rPr>
        <w:t>乙方</w:t>
      </w:r>
      <w:r>
        <w:rPr>
          <w:rFonts w:ascii="宋体" w:hAnsi="宋体" w:cs="Times New Roman"/>
          <w:sz w:val="28"/>
          <w:szCs w:val="28"/>
          <w:highlight w:val="none"/>
        </w:rPr>
        <w:t>施工驻地必须制定应急预案，落实应急通讯设备、应急照明、高频喇叭、生活必需品等应急物资；至少组织一次“断路、断电、断通讯”条件下的实战化演练，确保驻地人员熟知避险转移条件、信号、线路、避险点；</w:t>
      </w:r>
      <w:r>
        <w:rPr>
          <w:rFonts w:hint="eastAsia" w:ascii="宋体" w:hAnsi="宋体" w:cs="Times New Roman"/>
          <w:sz w:val="28"/>
          <w:szCs w:val="28"/>
          <w:highlight w:val="none"/>
        </w:rPr>
        <w:t>乙方应</w:t>
      </w:r>
      <w:r>
        <w:rPr>
          <w:rFonts w:ascii="宋体" w:hAnsi="宋体" w:cs="Times New Roman"/>
          <w:sz w:val="28"/>
          <w:szCs w:val="28"/>
          <w:highlight w:val="none"/>
        </w:rPr>
        <w:t>加强</w:t>
      </w:r>
      <w:r>
        <w:rPr>
          <w:rFonts w:hint="eastAsia" w:ascii="宋体" w:hAnsi="宋体" w:cs="Times New Roman"/>
          <w:sz w:val="28"/>
          <w:szCs w:val="28"/>
          <w:highlight w:val="none"/>
        </w:rPr>
        <w:t>对驻地作业人员</w:t>
      </w:r>
      <w:r>
        <w:rPr>
          <w:rFonts w:ascii="宋体" w:hAnsi="宋体" w:cs="Times New Roman"/>
          <w:sz w:val="28"/>
          <w:szCs w:val="28"/>
          <w:highlight w:val="none"/>
        </w:rPr>
        <w:t>防灾、减灾、救灾应急知识的教育培训。</w:t>
      </w:r>
    </w:p>
    <w:p w14:paraId="157F1EC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第四条 </w:t>
      </w:r>
      <w:r>
        <w:rPr>
          <w:rFonts w:hint="eastAsia" w:ascii="宋体" w:hAnsi="宋体" w:cs="Times New Roman"/>
          <w:sz w:val="28"/>
          <w:szCs w:val="28"/>
          <w:highlight w:val="none"/>
        </w:rPr>
        <w:t>乙方</w:t>
      </w:r>
      <w:r>
        <w:rPr>
          <w:rFonts w:ascii="宋体" w:hAnsi="宋体" w:cs="Times New Roman"/>
          <w:sz w:val="28"/>
          <w:szCs w:val="28"/>
          <w:highlight w:val="none"/>
        </w:rPr>
        <w:t>施工驻地必须执行值班值守和巡逻制度，与所在地气象、水利、自然资源、应急管理等政府部门建立联系机制；多渠道及时获取预警预报信息和传递信息，建立专人靶向接收、传递、响应、反馈机制。</w:t>
      </w:r>
    </w:p>
    <w:p w14:paraId="7B85F6F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第五条 </w:t>
      </w:r>
      <w:r>
        <w:rPr>
          <w:rFonts w:hint="eastAsia" w:ascii="宋体" w:hAnsi="宋体" w:cs="Times New Roman"/>
          <w:sz w:val="28"/>
          <w:szCs w:val="28"/>
          <w:highlight w:val="none"/>
        </w:rPr>
        <w:t>乙方</w:t>
      </w:r>
      <w:r>
        <w:rPr>
          <w:rFonts w:ascii="宋体" w:hAnsi="宋体" w:cs="Times New Roman"/>
          <w:sz w:val="28"/>
          <w:szCs w:val="28"/>
          <w:highlight w:val="none"/>
        </w:rPr>
        <w:t>施工驻地必须坚持汛期“三查”，严格落实“三个避让”“三个紧急撤离”刚性规定，建立满足企地联动响应的“红橙黄蓝”预警信息处置方案，接到预警信息</w:t>
      </w:r>
      <w:r>
        <w:rPr>
          <w:rFonts w:hint="eastAsia" w:ascii="宋体" w:hAnsi="宋体" w:cs="Times New Roman"/>
          <w:sz w:val="28"/>
          <w:szCs w:val="28"/>
          <w:highlight w:val="none"/>
        </w:rPr>
        <w:t>或甲方通知时</w:t>
      </w:r>
      <w:r>
        <w:rPr>
          <w:rFonts w:ascii="宋体" w:hAnsi="宋体" w:cs="Times New Roman"/>
          <w:sz w:val="28"/>
          <w:szCs w:val="28"/>
          <w:highlight w:val="none"/>
        </w:rPr>
        <w:t>，对应处置方案，坚决执行人员避险转移；特别是处于地质灾害易发区、受山洪灾害威胁或地质灾害危险性评估为中等风险的驻地，接到蓝色及以上预警信息时，必须避险撤离，严禁犹豫不决、拖延转移。</w:t>
      </w:r>
    </w:p>
    <w:p w14:paraId="6E3B887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第六条 </w:t>
      </w:r>
      <w:r>
        <w:rPr>
          <w:rFonts w:hint="eastAsia" w:ascii="宋体" w:hAnsi="宋体" w:cs="Times New Roman"/>
          <w:sz w:val="28"/>
          <w:szCs w:val="28"/>
          <w:highlight w:val="none"/>
        </w:rPr>
        <w:t>乙方</w:t>
      </w:r>
      <w:r>
        <w:rPr>
          <w:rFonts w:ascii="宋体" w:hAnsi="宋体" w:cs="Times New Roman"/>
          <w:sz w:val="28"/>
          <w:szCs w:val="28"/>
          <w:highlight w:val="none"/>
        </w:rPr>
        <w:t>施工驻地发生地灾或出现地灾险情时，必须按规定</w:t>
      </w:r>
      <w:r>
        <w:rPr>
          <w:rFonts w:hint="eastAsia" w:ascii="宋体" w:hAnsi="宋体" w:cs="Times New Roman"/>
          <w:sz w:val="28"/>
          <w:szCs w:val="28"/>
          <w:highlight w:val="none"/>
        </w:rPr>
        <w:t>立即报告本单位负责人并向甲方报告现场情况</w:t>
      </w:r>
      <w:r>
        <w:rPr>
          <w:rFonts w:ascii="宋体" w:hAnsi="宋体" w:cs="Times New Roman"/>
          <w:sz w:val="28"/>
          <w:szCs w:val="28"/>
          <w:highlight w:val="none"/>
        </w:rPr>
        <w:t>，不得迟报、漏报、谎报、瞒报。</w:t>
      </w:r>
    </w:p>
    <w:p w14:paraId="63FC037E">
      <w:pPr>
        <w:widowControl/>
        <w:spacing w:line="600" w:lineRule="exact"/>
        <w:ind w:firstLine="560" w:firstLineChars="200"/>
        <w:jc w:val="left"/>
        <w:rPr>
          <w:rFonts w:ascii="宋体" w:hAnsi="宋体" w:cs="Times New Roman"/>
          <w:sz w:val="28"/>
          <w:szCs w:val="28"/>
          <w:highlight w:val="none"/>
        </w:rPr>
      </w:pPr>
      <w:r>
        <w:rPr>
          <w:rFonts w:ascii="宋体" w:hAnsi="宋体" w:cs="Times New Roman"/>
          <w:sz w:val="28"/>
          <w:szCs w:val="28"/>
          <w:highlight w:val="none"/>
        </w:rPr>
        <w:t xml:space="preserve">第七条 </w:t>
      </w:r>
      <w:r>
        <w:rPr>
          <w:rFonts w:hint="eastAsia" w:ascii="宋体" w:hAnsi="宋体" w:cs="Times New Roman"/>
          <w:sz w:val="28"/>
          <w:szCs w:val="28"/>
          <w:highlight w:val="none"/>
        </w:rPr>
        <w:t>乙方</w:t>
      </w:r>
      <w:r>
        <w:rPr>
          <w:rFonts w:ascii="宋体" w:hAnsi="宋体" w:cs="Times New Roman"/>
          <w:sz w:val="28"/>
          <w:szCs w:val="28"/>
          <w:highlight w:val="none"/>
        </w:rPr>
        <w:t>施工驻地发生灾害性事故（件），经</w:t>
      </w:r>
      <w:r>
        <w:rPr>
          <w:rFonts w:hint="eastAsia" w:ascii="宋体" w:hAnsi="宋体" w:cs="Times New Roman"/>
          <w:sz w:val="28"/>
          <w:szCs w:val="28"/>
          <w:highlight w:val="none"/>
        </w:rPr>
        <w:t>甲方</w:t>
      </w:r>
      <w:r>
        <w:rPr>
          <w:rFonts w:ascii="宋体" w:hAnsi="宋体" w:cs="Times New Roman"/>
          <w:sz w:val="28"/>
          <w:szCs w:val="28"/>
          <w:highlight w:val="none"/>
        </w:rPr>
        <w:t>调查认定有违反上述规定情形的，参照《蜀道集团安全生产责任追究办法》，对相关单位及责任人作出严肃处理。</w:t>
      </w:r>
    </w:p>
    <w:p w14:paraId="46E1DBE3">
      <w:pPr>
        <w:widowControl/>
        <w:spacing w:line="600" w:lineRule="exact"/>
        <w:ind w:firstLine="560" w:firstLineChars="200"/>
        <w:jc w:val="left"/>
        <w:rPr>
          <w:rFonts w:ascii="宋体" w:hAnsi="宋体" w:cs="Times New Roman"/>
          <w:sz w:val="28"/>
          <w:szCs w:val="28"/>
          <w:highlight w:val="none"/>
        </w:rPr>
      </w:pPr>
      <w:r>
        <w:rPr>
          <w:rFonts w:hint="eastAsia" w:ascii="宋体" w:hAnsi="宋体" w:cs="Times New Roman"/>
          <w:sz w:val="28"/>
          <w:szCs w:val="28"/>
          <w:highlight w:val="none"/>
        </w:rPr>
        <w:t>11.3.5</w:t>
      </w:r>
      <w:r>
        <w:rPr>
          <w:rFonts w:ascii="宋体" w:hAnsi="宋体" w:cs="Times New Roman"/>
          <w:sz w:val="28"/>
          <w:szCs w:val="28"/>
          <w:highlight w:val="none"/>
        </w:rPr>
        <w:t>汛期“三查”工作措施</w:t>
      </w:r>
    </w:p>
    <w:p w14:paraId="29581716">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乙方应做到在</w:t>
      </w:r>
      <w:r>
        <w:rPr>
          <w:rFonts w:ascii="宋体" w:hAnsi="宋体" w:cs="Times New Roman"/>
          <w:sz w:val="28"/>
          <w:szCs w:val="28"/>
          <w:highlight w:val="none"/>
        </w:rPr>
        <w:t>雨前排查</w:t>
      </w:r>
      <w:r>
        <w:rPr>
          <w:rFonts w:hint="eastAsia" w:ascii="宋体" w:hAnsi="宋体" w:cs="Times New Roman"/>
          <w:sz w:val="28"/>
          <w:szCs w:val="28"/>
          <w:highlight w:val="none"/>
        </w:rPr>
        <w:t>在建项目的</w:t>
      </w:r>
      <w:r>
        <w:rPr>
          <w:rFonts w:ascii="宋体" w:hAnsi="宋体" w:cs="Times New Roman"/>
          <w:sz w:val="28"/>
          <w:szCs w:val="28"/>
          <w:highlight w:val="none"/>
        </w:rPr>
        <w:t>建筑物、设备设施、电气线路安全状况，</w:t>
      </w:r>
      <w:r>
        <w:rPr>
          <w:rFonts w:hint="eastAsia" w:ascii="宋体" w:hAnsi="宋体" w:cs="Times New Roman"/>
          <w:sz w:val="28"/>
          <w:szCs w:val="28"/>
          <w:highlight w:val="none"/>
        </w:rPr>
        <w:t>排</w:t>
      </w:r>
      <w:r>
        <w:rPr>
          <w:rFonts w:ascii="宋体" w:hAnsi="宋体" w:cs="Times New Roman"/>
          <w:sz w:val="28"/>
          <w:szCs w:val="28"/>
          <w:highlight w:val="none"/>
        </w:rPr>
        <w:t>查防、排水设施完好情况，</w:t>
      </w:r>
      <w:r>
        <w:rPr>
          <w:rFonts w:hint="eastAsia" w:ascii="宋体" w:hAnsi="宋体" w:cs="Times New Roman"/>
          <w:sz w:val="28"/>
          <w:szCs w:val="28"/>
          <w:highlight w:val="none"/>
        </w:rPr>
        <w:t>排</w:t>
      </w:r>
      <w:r>
        <w:rPr>
          <w:rFonts w:ascii="宋体" w:hAnsi="宋体" w:cs="Times New Roman"/>
          <w:sz w:val="28"/>
          <w:szCs w:val="28"/>
          <w:highlight w:val="none"/>
        </w:rPr>
        <w:t>查应急救援预案、物资装备准备情况等;</w:t>
      </w:r>
    </w:p>
    <w:p w14:paraId="4A813C5F">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乙方应做到在</w:t>
      </w:r>
      <w:r>
        <w:rPr>
          <w:rFonts w:ascii="宋体" w:hAnsi="宋体" w:cs="Times New Roman"/>
          <w:sz w:val="28"/>
          <w:szCs w:val="28"/>
          <w:highlight w:val="none"/>
        </w:rPr>
        <w:t>雨中</w:t>
      </w:r>
      <w:r>
        <w:rPr>
          <w:rFonts w:hint="eastAsia" w:ascii="宋体" w:hAnsi="宋体" w:cs="Times New Roman"/>
          <w:sz w:val="28"/>
          <w:szCs w:val="28"/>
          <w:highlight w:val="none"/>
        </w:rPr>
        <w:t>安排专人</w:t>
      </w:r>
      <w:r>
        <w:rPr>
          <w:rFonts w:ascii="宋体" w:hAnsi="宋体" w:cs="Times New Roman"/>
          <w:sz w:val="28"/>
          <w:szCs w:val="28"/>
          <w:highlight w:val="none"/>
        </w:rPr>
        <w:t>巡查</w:t>
      </w:r>
      <w:r>
        <w:rPr>
          <w:rFonts w:hint="eastAsia" w:ascii="宋体" w:hAnsi="宋体" w:cs="Times New Roman"/>
          <w:sz w:val="28"/>
          <w:szCs w:val="28"/>
          <w:highlight w:val="none"/>
        </w:rPr>
        <w:t>在建项目</w:t>
      </w:r>
      <w:r>
        <w:rPr>
          <w:rFonts w:ascii="宋体" w:hAnsi="宋体" w:cs="Times New Roman"/>
          <w:sz w:val="28"/>
          <w:szCs w:val="28"/>
          <w:highlight w:val="none"/>
        </w:rPr>
        <w:t>低洼地带积水情况，</w:t>
      </w:r>
      <w:r>
        <w:rPr>
          <w:rFonts w:hint="eastAsia" w:ascii="宋体" w:hAnsi="宋体" w:cs="Times New Roman"/>
          <w:sz w:val="28"/>
          <w:szCs w:val="28"/>
          <w:highlight w:val="none"/>
        </w:rPr>
        <w:t>巡</w:t>
      </w:r>
      <w:r>
        <w:rPr>
          <w:rFonts w:ascii="宋体" w:hAnsi="宋体" w:cs="Times New Roman"/>
          <w:sz w:val="28"/>
          <w:szCs w:val="28"/>
          <w:highlight w:val="none"/>
        </w:rPr>
        <w:t>查防、排水设施运行情况，</w:t>
      </w:r>
      <w:r>
        <w:rPr>
          <w:rFonts w:hint="eastAsia" w:ascii="宋体" w:hAnsi="宋体" w:cs="Times New Roman"/>
          <w:sz w:val="28"/>
          <w:szCs w:val="28"/>
          <w:highlight w:val="none"/>
        </w:rPr>
        <w:t>巡</w:t>
      </w:r>
      <w:r>
        <w:rPr>
          <w:rFonts w:ascii="宋体" w:hAnsi="宋体" w:cs="Times New Roman"/>
          <w:sz w:val="28"/>
          <w:szCs w:val="28"/>
          <w:highlight w:val="none"/>
        </w:rPr>
        <w:t>查应急值班值守工作情况等;</w:t>
      </w:r>
    </w:p>
    <w:p w14:paraId="772463AA">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乙方应做到在</w:t>
      </w:r>
      <w:r>
        <w:rPr>
          <w:rFonts w:ascii="宋体" w:hAnsi="宋体" w:cs="Times New Roman"/>
          <w:sz w:val="28"/>
          <w:szCs w:val="28"/>
          <w:highlight w:val="none"/>
        </w:rPr>
        <w:t>雨后核查</w:t>
      </w:r>
      <w:r>
        <w:rPr>
          <w:rFonts w:hint="eastAsia" w:ascii="宋体" w:hAnsi="宋体" w:cs="Times New Roman"/>
          <w:sz w:val="28"/>
          <w:szCs w:val="28"/>
          <w:highlight w:val="none"/>
        </w:rPr>
        <w:t>在建项目基础设施、机电设备</w:t>
      </w:r>
      <w:r>
        <w:rPr>
          <w:rFonts w:ascii="宋体" w:hAnsi="宋体" w:cs="Times New Roman"/>
          <w:sz w:val="28"/>
          <w:szCs w:val="28"/>
          <w:highlight w:val="none"/>
        </w:rPr>
        <w:t>受损情况，</w:t>
      </w:r>
      <w:r>
        <w:rPr>
          <w:rFonts w:hint="eastAsia" w:ascii="宋体" w:hAnsi="宋体" w:cs="Times New Roman"/>
          <w:sz w:val="28"/>
          <w:szCs w:val="28"/>
          <w:highlight w:val="none"/>
        </w:rPr>
        <w:t>排</w:t>
      </w:r>
      <w:r>
        <w:rPr>
          <w:rFonts w:ascii="宋体" w:hAnsi="宋体" w:cs="Times New Roman"/>
          <w:sz w:val="28"/>
          <w:szCs w:val="28"/>
          <w:highlight w:val="none"/>
        </w:rPr>
        <w:t>查隐患问题，</w:t>
      </w:r>
      <w:r>
        <w:rPr>
          <w:rFonts w:hint="eastAsia" w:ascii="宋体" w:hAnsi="宋体" w:cs="Times New Roman"/>
          <w:sz w:val="28"/>
          <w:szCs w:val="28"/>
          <w:highlight w:val="none"/>
        </w:rPr>
        <w:t>核</w:t>
      </w:r>
      <w:r>
        <w:rPr>
          <w:rFonts w:ascii="宋体" w:hAnsi="宋体" w:cs="Times New Roman"/>
          <w:sz w:val="28"/>
          <w:szCs w:val="28"/>
          <w:highlight w:val="none"/>
        </w:rPr>
        <w:t>查应急处置情况等。</w:t>
      </w:r>
    </w:p>
    <w:p w14:paraId="385A943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11.4 事故上报</w:t>
      </w:r>
    </w:p>
    <w:p w14:paraId="33C98C7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发生安全事故时，乙方事故现场</w:t>
      </w:r>
      <w:r>
        <w:rPr>
          <w:rFonts w:hint="eastAsia" w:ascii="宋体" w:hAnsi="宋体" w:cs="Times New Roman"/>
          <w:sz w:val="28"/>
          <w:szCs w:val="28"/>
          <w:highlight w:val="none"/>
        </w:rPr>
        <w:t>管理</w:t>
      </w:r>
      <w:r>
        <w:rPr>
          <w:rFonts w:ascii="宋体" w:hAnsi="宋体" w:cs="Times New Roman"/>
          <w:sz w:val="28"/>
          <w:szCs w:val="28"/>
          <w:highlight w:val="none"/>
        </w:rPr>
        <w:t>人员应</w:t>
      </w:r>
      <w:r>
        <w:rPr>
          <w:rFonts w:hint="eastAsia" w:ascii="宋体" w:hAnsi="宋体" w:cs="Times New Roman"/>
          <w:sz w:val="28"/>
          <w:szCs w:val="28"/>
          <w:highlight w:val="none"/>
        </w:rPr>
        <w:t>当</w:t>
      </w:r>
      <w:r>
        <w:rPr>
          <w:rFonts w:ascii="宋体" w:hAnsi="宋体" w:cs="Times New Roman"/>
          <w:sz w:val="28"/>
          <w:szCs w:val="28"/>
          <w:highlight w:val="none"/>
        </w:rPr>
        <w:t>立即</w:t>
      </w:r>
      <w:r>
        <w:rPr>
          <w:rFonts w:hint="eastAsia" w:ascii="宋体" w:hAnsi="宋体" w:cs="Times New Roman"/>
          <w:sz w:val="28"/>
          <w:szCs w:val="28"/>
          <w:highlight w:val="none"/>
        </w:rPr>
        <w:t>向本单位负责人报告</w:t>
      </w:r>
      <w:r>
        <w:rPr>
          <w:rFonts w:ascii="宋体" w:hAnsi="宋体" w:cs="Times New Roman"/>
          <w:sz w:val="28"/>
          <w:szCs w:val="28"/>
          <w:highlight w:val="none"/>
        </w:rPr>
        <w:t>并通知甲方</w:t>
      </w:r>
      <w:r>
        <w:rPr>
          <w:rFonts w:hint="eastAsia" w:ascii="宋体" w:hAnsi="宋体" w:cs="Times New Roman"/>
          <w:sz w:val="28"/>
          <w:szCs w:val="28"/>
          <w:highlight w:val="none"/>
        </w:rPr>
        <w:t>代表</w:t>
      </w:r>
      <w:r>
        <w:rPr>
          <w:rFonts w:ascii="宋体" w:hAnsi="宋体" w:cs="Times New Roman"/>
          <w:sz w:val="28"/>
          <w:szCs w:val="28"/>
          <w:highlight w:val="none"/>
        </w:rPr>
        <w:t>，</w:t>
      </w:r>
      <w:r>
        <w:rPr>
          <w:rFonts w:hint="eastAsia" w:ascii="宋体" w:hAnsi="宋体" w:cs="Times New Roman"/>
          <w:sz w:val="28"/>
          <w:szCs w:val="28"/>
          <w:highlight w:val="none"/>
        </w:rPr>
        <w:t>乙方单位负责人应当于一小时内向事故发生地县级以上人民政府安全生产监督管理部门和负有安全生产监督管理职责的有关部门报告</w:t>
      </w:r>
      <w:r>
        <w:rPr>
          <w:rFonts w:ascii="宋体" w:hAnsi="宋体" w:cs="Times New Roman"/>
          <w:sz w:val="28"/>
          <w:szCs w:val="28"/>
          <w:highlight w:val="none"/>
        </w:rPr>
        <w:t>，不得迟报、漏报、谎报、瞒报。</w:t>
      </w:r>
    </w:p>
    <w:p w14:paraId="1AE65F9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11.5 森林防火</w:t>
      </w:r>
    </w:p>
    <w:p w14:paraId="30CB0797">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11.5.1</w:t>
      </w:r>
      <w:r>
        <w:rPr>
          <w:rFonts w:ascii="宋体" w:hAnsi="宋体" w:cs="Times New Roman"/>
          <w:sz w:val="28"/>
          <w:szCs w:val="28"/>
          <w:highlight w:val="none"/>
        </w:rPr>
        <w:t>项目所在地涉及森林草原的，乙方要严格执行野外动火、焊接切割作业审批制度，办理动火安全作业许可票证</w:t>
      </w:r>
      <w:r>
        <w:rPr>
          <w:rFonts w:hint="eastAsia" w:ascii="宋体" w:hAnsi="宋体" w:cs="Times New Roman"/>
          <w:sz w:val="28"/>
          <w:szCs w:val="28"/>
          <w:highlight w:val="none"/>
        </w:rPr>
        <w:t>。乙方</w:t>
      </w:r>
      <w:r>
        <w:rPr>
          <w:rFonts w:ascii="宋体" w:hAnsi="宋体" w:cs="Times New Roman"/>
          <w:sz w:val="28"/>
          <w:szCs w:val="28"/>
          <w:highlight w:val="none"/>
        </w:rPr>
        <w:t>无动火安全作业许可票证</w:t>
      </w:r>
      <w:r>
        <w:rPr>
          <w:rFonts w:hint="eastAsia" w:ascii="宋体" w:hAnsi="宋体" w:cs="Times New Roman"/>
          <w:sz w:val="28"/>
          <w:szCs w:val="28"/>
          <w:highlight w:val="none"/>
        </w:rPr>
        <w:t>擅自动火作业</w:t>
      </w:r>
      <w:r>
        <w:rPr>
          <w:rFonts w:ascii="宋体" w:hAnsi="宋体" w:cs="Times New Roman"/>
          <w:sz w:val="28"/>
          <w:szCs w:val="28"/>
          <w:highlight w:val="none"/>
        </w:rPr>
        <w:t>，甲方有权要求乙方暂停施工</w:t>
      </w:r>
      <w:r>
        <w:rPr>
          <w:rFonts w:hint="eastAsia" w:ascii="宋体" w:hAnsi="宋体" w:cs="Times New Roman"/>
          <w:sz w:val="28"/>
          <w:szCs w:val="28"/>
          <w:highlight w:val="none"/>
        </w:rPr>
        <w:t>并及时整改，因停工整改造成的经济损失由乙方承担，乙方拒不整改的，甲方有权根据违规行为的严重程度向乙方扣减</w:t>
      </w:r>
      <w:r>
        <w:rPr>
          <w:rFonts w:ascii="宋体" w:hAnsi="宋体" w:cs="Times New Roman"/>
          <w:sz w:val="28"/>
          <w:szCs w:val="28"/>
          <w:highlight w:val="none"/>
        </w:rPr>
        <w:t>违约金500</w:t>
      </w:r>
      <w:r>
        <w:rPr>
          <w:rFonts w:hint="eastAsia" w:ascii="宋体" w:hAnsi="宋体" w:cs="Times New Roman"/>
          <w:sz w:val="28"/>
          <w:szCs w:val="28"/>
          <w:highlight w:val="none"/>
        </w:rPr>
        <w:t>0</w:t>
      </w:r>
      <w:r>
        <w:rPr>
          <w:rFonts w:ascii="宋体" w:hAnsi="宋体" w:cs="Times New Roman"/>
          <w:sz w:val="28"/>
          <w:szCs w:val="28"/>
          <w:highlight w:val="none"/>
        </w:rPr>
        <w:t>-</w:t>
      </w:r>
      <w:r>
        <w:rPr>
          <w:rFonts w:hint="eastAsia" w:ascii="宋体" w:hAnsi="宋体" w:cs="Times New Roman"/>
          <w:sz w:val="28"/>
          <w:szCs w:val="28"/>
          <w:highlight w:val="none"/>
        </w:rPr>
        <w:t>2</w:t>
      </w:r>
      <w:r>
        <w:rPr>
          <w:rFonts w:ascii="宋体" w:hAnsi="宋体" w:cs="Times New Roman"/>
          <w:sz w:val="28"/>
          <w:szCs w:val="28"/>
          <w:highlight w:val="none"/>
        </w:rPr>
        <w:t>000</w:t>
      </w:r>
      <w:r>
        <w:rPr>
          <w:rFonts w:hint="eastAsia" w:ascii="宋体" w:hAnsi="宋体" w:cs="Times New Roman"/>
          <w:sz w:val="28"/>
          <w:szCs w:val="28"/>
          <w:highlight w:val="none"/>
        </w:rPr>
        <w:t>0</w:t>
      </w:r>
      <w:r>
        <w:rPr>
          <w:rFonts w:ascii="宋体" w:hAnsi="宋体" w:cs="Times New Roman"/>
          <w:sz w:val="28"/>
          <w:szCs w:val="28"/>
          <w:highlight w:val="none"/>
        </w:rPr>
        <w:t>元</w:t>
      </w:r>
      <w:r>
        <w:rPr>
          <w:rFonts w:hint="eastAsia" w:ascii="宋体" w:hAnsi="宋体" w:cs="Times New Roman"/>
          <w:sz w:val="28"/>
          <w:szCs w:val="28"/>
          <w:highlight w:val="none"/>
        </w:rPr>
        <w:t>/次</w:t>
      </w:r>
      <w:r>
        <w:rPr>
          <w:rFonts w:ascii="宋体" w:hAnsi="宋体" w:cs="Times New Roman"/>
          <w:sz w:val="28"/>
          <w:szCs w:val="28"/>
          <w:highlight w:val="none"/>
        </w:rPr>
        <w:t>。</w:t>
      </w:r>
    </w:p>
    <w:p w14:paraId="728CB2BC">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11.5.2</w:t>
      </w:r>
      <w:r>
        <w:rPr>
          <w:rFonts w:ascii="宋体" w:hAnsi="宋体" w:cs="Times New Roman"/>
          <w:sz w:val="28"/>
          <w:szCs w:val="28"/>
          <w:highlight w:val="none"/>
        </w:rPr>
        <w:t>乙方应严格落实</w:t>
      </w:r>
      <w:r>
        <w:rPr>
          <w:rFonts w:hint="eastAsia" w:ascii="宋体" w:hAnsi="宋体" w:cs="Times New Roman"/>
          <w:sz w:val="28"/>
          <w:szCs w:val="28"/>
          <w:highlight w:val="none"/>
        </w:rPr>
        <w:t>在建项目</w:t>
      </w:r>
      <w:r>
        <w:rPr>
          <w:rFonts w:ascii="宋体" w:hAnsi="宋体" w:cs="Times New Roman"/>
          <w:sz w:val="28"/>
          <w:szCs w:val="28"/>
          <w:highlight w:val="none"/>
        </w:rPr>
        <w:t>动火作业点消防设施配备和现场监护，严禁携带火种进入</w:t>
      </w:r>
      <w:r>
        <w:rPr>
          <w:rFonts w:hint="eastAsia" w:ascii="宋体" w:hAnsi="宋体" w:cs="Times New Roman"/>
          <w:sz w:val="28"/>
          <w:szCs w:val="28"/>
          <w:highlight w:val="none"/>
        </w:rPr>
        <w:t>项目所在地附近</w:t>
      </w:r>
      <w:r>
        <w:rPr>
          <w:rFonts w:ascii="宋体" w:hAnsi="宋体" w:cs="Times New Roman"/>
          <w:sz w:val="28"/>
          <w:szCs w:val="28"/>
          <w:highlight w:val="none"/>
        </w:rPr>
        <w:t>林区，严禁在林区及周边吸烟、焚烧垃圾。如有发现，</w:t>
      </w:r>
      <w:r>
        <w:rPr>
          <w:rFonts w:hint="eastAsia" w:ascii="宋体" w:hAnsi="宋体" w:cs="Times New Roman"/>
          <w:sz w:val="28"/>
          <w:szCs w:val="28"/>
          <w:highlight w:val="none"/>
        </w:rPr>
        <w:t>甲方有权根据违规行为的严重程度向乙方扣减</w:t>
      </w:r>
      <w:r>
        <w:rPr>
          <w:rFonts w:ascii="宋体" w:hAnsi="宋体" w:cs="Times New Roman"/>
          <w:sz w:val="28"/>
          <w:szCs w:val="28"/>
          <w:highlight w:val="none"/>
        </w:rPr>
        <w:t>违约金</w:t>
      </w:r>
      <w:r>
        <w:rPr>
          <w:rFonts w:hint="eastAsia" w:ascii="宋体" w:hAnsi="宋体" w:cs="Times New Roman"/>
          <w:sz w:val="28"/>
          <w:szCs w:val="28"/>
          <w:highlight w:val="none"/>
        </w:rPr>
        <w:t>500</w:t>
      </w:r>
      <w:r>
        <w:rPr>
          <w:rFonts w:ascii="宋体" w:hAnsi="宋体" w:cs="Times New Roman"/>
          <w:sz w:val="28"/>
          <w:szCs w:val="28"/>
          <w:highlight w:val="none"/>
        </w:rPr>
        <w:t>-</w:t>
      </w:r>
      <w:r>
        <w:rPr>
          <w:rFonts w:hint="eastAsia" w:ascii="宋体" w:hAnsi="宋体" w:cs="Times New Roman"/>
          <w:sz w:val="28"/>
          <w:szCs w:val="28"/>
          <w:highlight w:val="none"/>
        </w:rPr>
        <w:t>2</w:t>
      </w:r>
      <w:r>
        <w:rPr>
          <w:rFonts w:ascii="宋体" w:hAnsi="宋体" w:cs="Times New Roman"/>
          <w:sz w:val="28"/>
          <w:szCs w:val="28"/>
          <w:highlight w:val="none"/>
        </w:rPr>
        <w:t>000元</w:t>
      </w:r>
      <w:r>
        <w:rPr>
          <w:rFonts w:hint="eastAsia" w:ascii="宋体" w:hAnsi="宋体" w:cs="Times New Roman"/>
          <w:sz w:val="28"/>
          <w:szCs w:val="28"/>
          <w:highlight w:val="none"/>
        </w:rPr>
        <w:t>/次</w:t>
      </w:r>
      <w:r>
        <w:rPr>
          <w:rFonts w:ascii="宋体" w:hAnsi="宋体" w:cs="Times New Roman"/>
          <w:sz w:val="28"/>
          <w:szCs w:val="28"/>
          <w:highlight w:val="none"/>
        </w:rPr>
        <w:t>。</w:t>
      </w:r>
    </w:p>
    <w:p w14:paraId="2C5690B9">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11.5.3</w:t>
      </w:r>
      <w:r>
        <w:rPr>
          <w:rFonts w:ascii="宋体" w:hAnsi="宋体" w:cs="Times New Roman"/>
          <w:sz w:val="28"/>
          <w:szCs w:val="28"/>
          <w:highlight w:val="none"/>
        </w:rPr>
        <w:t>乙方在接到属地人民政府发布的禁火令后，要及时报告甲方并对照禁火时间、禁火区域和禁火措施，严禁一切野外用火。</w:t>
      </w:r>
      <w:r>
        <w:rPr>
          <w:rFonts w:hint="eastAsia" w:ascii="宋体" w:hAnsi="宋体" w:cs="Times New Roman"/>
          <w:sz w:val="28"/>
          <w:szCs w:val="28"/>
          <w:highlight w:val="none"/>
        </w:rPr>
        <w:t>乙方违规用火，甲方有权根据违规行为的严重程度向乙方扣减</w:t>
      </w:r>
      <w:r>
        <w:rPr>
          <w:rFonts w:ascii="宋体" w:hAnsi="宋体" w:cs="Times New Roman"/>
          <w:sz w:val="28"/>
          <w:szCs w:val="28"/>
          <w:highlight w:val="none"/>
        </w:rPr>
        <w:t>违约金</w:t>
      </w:r>
      <w:r>
        <w:rPr>
          <w:rFonts w:hint="eastAsia" w:ascii="宋体" w:hAnsi="宋体" w:cs="Times New Roman"/>
          <w:sz w:val="28"/>
          <w:szCs w:val="28"/>
          <w:highlight w:val="none"/>
        </w:rPr>
        <w:t>5</w:t>
      </w:r>
      <w:r>
        <w:rPr>
          <w:rFonts w:ascii="宋体" w:hAnsi="宋体" w:cs="Times New Roman"/>
          <w:sz w:val="28"/>
          <w:szCs w:val="28"/>
          <w:highlight w:val="none"/>
        </w:rPr>
        <w:t>000-20000元</w:t>
      </w:r>
      <w:r>
        <w:rPr>
          <w:rFonts w:hint="eastAsia" w:ascii="宋体" w:hAnsi="宋体" w:cs="Times New Roman"/>
          <w:sz w:val="28"/>
          <w:szCs w:val="28"/>
          <w:highlight w:val="none"/>
        </w:rPr>
        <w:t>/次。</w:t>
      </w:r>
    </w:p>
    <w:p w14:paraId="03945F17">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11.5.4施工场地位于森林草原区域的，</w:t>
      </w:r>
      <w:r>
        <w:rPr>
          <w:rFonts w:ascii="宋体" w:hAnsi="宋体" w:cs="Times New Roman"/>
          <w:sz w:val="28"/>
          <w:szCs w:val="28"/>
          <w:highlight w:val="none"/>
        </w:rPr>
        <w:t>乙方</w:t>
      </w:r>
      <w:r>
        <w:rPr>
          <w:rFonts w:hint="eastAsia" w:ascii="宋体" w:hAnsi="宋体" w:cs="Times New Roman"/>
          <w:sz w:val="28"/>
          <w:szCs w:val="28"/>
          <w:highlight w:val="none"/>
        </w:rPr>
        <w:t>须</w:t>
      </w:r>
      <w:r>
        <w:rPr>
          <w:rFonts w:ascii="宋体" w:hAnsi="宋体" w:cs="Times New Roman"/>
          <w:sz w:val="28"/>
          <w:szCs w:val="28"/>
          <w:highlight w:val="none"/>
        </w:rPr>
        <w:t>做到全覆盖、常态化组织开展森林</w:t>
      </w:r>
      <w:r>
        <w:rPr>
          <w:rFonts w:hint="eastAsia" w:ascii="宋体" w:hAnsi="宋体" w:cs="Times New Roman"/>
          <w:sz w:val="28"/>
          <w:szCs w:val="28"/>
          <w:highlight w:val="none"/>
        </w:rPr>
        <w:t>草原</w:t>
      </w:r>
      <w:r>
        <w:rPr>
          <w:rFonts w:ascii="宋体" w:hAnsi="宋体" w:cs="Times New Roman"/>
          <w:sz w:val="28"/>
          <w:szCs w:val="28"/>
          <w:highlight w:val="none"/>
        </w:rPr>
        <w:t>火灾隐患排查整治，并对发现的火灾隐患建立工作台账，实行清单管理，按照隐患整改“五落实”要求，确保隐患整改清零。</w:t>
      </w:r>
    </w:p>
    <w:p w14:paraId="41C68E43">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11.5.5</w:t>
      </w:r>
      <w:r>
        <w:rPr>
          <w:rFonts w:ascii="宋体" w:hAnsi="宋体" w:cs="Times New Roman"/>
          <w:sz w:val="28"/>
          <w:szCs w:val="28"/>
          <w:highlight w:val="none"/>
        </w:rPr>
        <w:t>乙方需加强现场作业人员安全教育培训和技术交底，相关资料需拍照或录像留存备查，增强森林草原防灭火风险防范意识。</w:t>
      </w:r>
      <w:r>
        <w:rPr>
          <w:rFonts w:hint="eastAsia" w:ascii="宋体" w:hAnsi="宋体" w:cs="Times New Roman"/>
          <w:sz w:val="28"/>
          <w:szCs w:val="28"/>
          <w:highlight w:val="none"/>
        </w:rPr>
        <w:t>如乙方</w:t>
      </w:r>
      <w:r>
        <w:rPr>
          <w:rFonts w:ascii="宋体" w:hAnsi="宋体" w:cs="Times New Roman"/>
          <w:sz w:val="28"/>
          <w:szCs w:val="28"/>
          <w:highlight w:val="none"/>
        </w:rPr>
        <w:t>未定期对人员安全教育或技术交底的，未落实相关规定，甲方有权</w:t>
      </w:r>
      <w:r>
        <w:rPr>
          <w:rFonts w:hint="eastAsia" w:ascii="宋体" w:hAnsi="宋体" w:cs="Times New Roman"/>
          <w:sz w:val="28"/>
          <w:szCs w:val="28"/>
          <w:highlight w:val="none"/>
        </w:rPr>
        <w:t>根据违规行为的严重程度</w:t>
      </w:r>
      <w:r>
        <w:rPr>
          <w:rFonts w:ascii="宋体" w:hAnsi="宋体" w:cs="Times New Roman"/>
          <w:sz w:val="28"/>
          <w:szCs w:val="28"/>
          <w:highlight w:val="none"/>
        </w:rPr>
        <w:t>向乙方</w:t>
      </w:r>
      <w:r>
        <w:rPr>
          <w:rFonts w:hint="eastAsia" w:ascii="宋体" w:hAnsi="宋体" w:cs="Times New Roman"/>
          <w:sz w:val="28"/>
          <w:szCs w:val="28"/>
          <w:highlight w:val="none"/>
        </w:rPr>
        <w:t>扣减</w:t>
      </w:r>
      <w:r>
        <w:rPr>
          <w:rFonts w:ascii="宋体" w:hAnsi="宋体" w:cs="Times New Roman"/>
          <w:sz w:val="28"/>
          <w:szCs w:val="28"/>
          <w:highlight w:val="none"/>
        </w:rPr>
        <w:t>违约金500-</w:t>
      </w:r>
      <w:r>
        <w:rPr>
          <w:rFonts w:hint="eastAsia" w:ascii="宋体" w:hAnsi="宋体" w:cs="Times New Roman"/>
          <w:sz w:val="28"/>
          <w:szCs w:val="28"/>
          <w:highlight w:val="none"/>
        </w:rPr>
        <w:t>2</w:t>
      </w:r>
      <w:r>
        <w:rPr>
          <w:rFonts w:ascii="宋体" w:hAnsi="宋体" w:cs="Times New Roman"/>
          <w:sz w:val="28"/>
          <w:szCs w:val="28"/>
          <w:highlight w:val="none"/>
        </w:rPr>
        <w:t>000元</w:t>
      </w:r>
      <w:r>
        <w:rPr>
          <w:rFonts w:hint="eastAsia" w:ascii="宋体" w:hAnsi="宋体" w:cs="Times New Roman"/>
          <w:sz w:val="28"/>
          <w:szCs w:val="28"/>
          <w:highlight w:val="none"/>
        </w:rPr>
        <w:t>。</w:t>
      </w:r>
    </w:p>
    <w:p w14:paraId="6C50739C">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11.5.6</w:t>
      </w:r>
      <w:r>
        <w:rPr>
          <w:rFonts w:ascii="宋体" w:hAnsi="宋体" w:cs="Times New Roman"/>
          <w:sz w:val="28"/>
          <w:szCs w:val="28"/>
          <w:highlight w:val="none"/>
        </w:rPr>
        <w:t>乙方需严格执行关键岗位24小时值班制度，制定森林草原防灭火专项应急预案，完善应急物资准备，落实应急演练，在火情发生时，严格执行“三先四不打”要求。</w:t>
      </w:r>
    </w:p>
    <w:p w14:paraId="56F3505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11.</w:t>
      </w:r>
      <w:r>
        <w:rPr>
          <w:rFonts w:hint="eastAsia" w:ascii="宋体" w:hAnsi="宋体" w:cs="Times New Roman"/>
          <w:sz w:val="28"/>
          <w:szCs w:val="28"/>
          <w:highlight w:val="none"/>
        </w:rPr>
        <w:t>6</w:t>
      </w:r>
      <w:r>
        <w:rPr>
          <w:rFonts w:ascii="宋体" w:hAnsi="宋体" w:cs="Times New Roman"/>
          <w:sz w:val="28"/>
          <w:szCs w:val="28"/>
          <w:highlight w:val="none"/>
        </w:rPr>
        <w:t xml:space="preserve"> 事故处理</w:t>
      </w:r>
    </w:p>
    <w:p w14:paraId="1E3B0A3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11.</w:t>
      </w:r>
      <w:r>
        <w:rPr>
          <w:rFonts w:hint="eastAsia" w:ascii="宋体" w:hAnsi="宋体" w:cs="Times New Roman"/>
          <w:sz w:val="28"/>
          <w:szCs w:val="28"/>
          <w:highlight w:val="none"/>
        </w:rPr>
        <w:t>6</w:t>
      </w:r>
      <w:r>
        <w:rPr>
          <w:rFonts w:ascii="宋体" w:hAnsi="宋体" w:cs="Times New Roman"/>
          <w:sz w:val="28"/>
          <w:szCs w:val="28"/>
          <w:highlight w:val="none"/>
        </w:rPr>
        <w:t>.1  人员的工伤事故</w:t>
      </w:r>
    </w:p>
    <w:p w14:paraId="3E1EEBB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11.</w:t>
      </w:r>
      <w:r>
        <w:rPr>
          <w:rFonts w:hint="eastAsia" w:ascii="宋体" w:hAnsi="宋体" w:cs="Times New Roman"/>
          <w:sz w:val="28"/>
          <w:szCs w:val="28"/>
          <w:highlight w:val="none"/>
        </w:rPr>
        <w:t>6</w:t>
      </w:r>
      <w:r>
        <w:rPr>
          <w:rFonts w:ascii="宋体" w:hAnsi="宋体" w:cs="Times New Roman"/>
          <w:sz w:val="28"/>
          <w:szCs w:val="28"/>
          <w:highlight w:val="none"/>
        </w:rPr>
        <w:t>.1.1  人员工伤事故的责任</w:t>
      </w:r>
    </w:p>
    <w:p w14:paraId="305B7B4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乙方应为其执行本合同的全部人员承担工伤事故责任。乙方可要求其分包人自行承担自己雇用人员的工伤事故责任。</w:t>
      </w:r>
    </w:p>
    <w:p w14:paraId="1B276EA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由于乙方过失造成在乙方责任区内工作的甲方的人员伤亡，则应由乙方承担其事故责任。</w:t>
      </w:r>
    </w:p>
    <w:p w14:paraId="3DBE10C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11.</w:t>
      </w:r>
      <w:r>
        <w:rPr>
          <w:rFonts w:hint="eastAsia" w:ascii="宋体" w:hAnsi="宋体" w:cs="Times New Roman"/>
          <w:sz w:val="28"/>
          <w:szCs w:val="28"/>
          <w:highlight w:val="none"/>
        </w:rPr>
        <w:t>6</w:t>
      </w:r>
      <w:r>
        <w:rPr>
          <w:rFonts w:ascii="宋体" w:hAnsi="宋体" w:cs="Times New Roman"/>
          <w:sz w:val="28"/>
          <w:szCs w:val="28"/>
          <w:highlight w:val="none"/>
        </w:rPr>
        <w:t>.1.2 人员工伤事故的赔偿</w:t>
      </w:r>
    </w:p>
    <w:p w14:paraId="27433AC0">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乙方对</w:t>
      </w:r>
      <w:r>
        <w:rPr>
          <w:rFonts w:ascii="宋体" w:hAnsi="宋体" w:cs="Times New Roman"/>
          <w:sz w:val="28"/>
          <w:szCs w:val="28"/>
          <w:highlight w:val="none"/>
        </w:rPr>
        <w:t>其执行本合同的</w:t>
      </w:r>
      <w:r>
        <w:rPr>
          <w:rFonts w:hint="eastAsia" w:ascii="宋体" w:hAnsi="宋体" w:cs="Times New Roman"/>
          <w:sz w:val="28"/>
          <w:szCs w:val="28"/>
          <w:highlight w:val="none"/>
        </w:rPr>
        <w:t>全部人员工伤事故承担赔偿责任</w:t>
      </w:r>
      <w:r>
        <w:rPr>
          <w:rFonts w:hint="eastAsia" w:ascii="宋体" w:hAnsi="宋体" w:cs="Times New Roman"/>
          <w:sz w:val="28"/>
          <w:szCs w:val="28"/>
          <w:highlight w:val="none"/>
          <w:lang w:eastAsia="zh-CN"/>
        </w:rPr>
        <w:t>，</w:t>
      </w:r>
      <w:r>
        <w:rPr>
          <w:rFonts w:ascii="宋体" w:hAnsi="宋体" w:cs="Times New Roman"/>
          <w:sz w:val="28"/>
          <w:szCs w:val="28"/>
          <w:highlight w:val="none"/>
        </w:rPr>
        <w:t>赔偿费用的范围应包括人员伤亡和财产损失的赔偿费、诉讼费和其它有关费用。</w:t>
      </w:r>
    </w:p>
    <w:p w14:paraId="6CF3719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11.</w:t>
      </w:r>
      <w:r>
        <w:rPr>
          <w:rFonts w:hint="eastAsia" w:ascii="宋体" w:hAnsi="宋体" w:cs="Times New Roman"/>
          <w:sz w:val="28"/>
          <w:szCs w:val="28"/>
          <w:highlight w:val="none"/>
        </w:rPr>
        <w:t>7</w:t>
      </w:r>
      <w:r>
        <w:rPr>
          <w:rFonts w:ascii="宋体" w:hAnsi="宋体" w:cs="Times New Roman"/>
          <w:sz w:val="28"/>
          <w:szCs w:val="28"/>
          <w:highlight w:val="none"/>
        </w:rPr>
        <w:t>安全事故</w:t>
      </w:r>
    </w:p>
    <w:p w14:paraId="0CBB7190">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乙方管辖区内</w:t>
      </w:r>
      <w:r>
        <w:rPr>
          <w:rFonts w:ascii="宋体" w:hAnsi="宋体" w:cs="Times New Roman"/>
          <w:sz w:val="28"/>
          <w:szCs w:val="28"/>
          <w:highlight w:val="none"/>
        </w:rPr>
        <w:t>发生</w:t>
      </w:r>
      <w:r>
        <w:rPr>
          <w:rFonts w:hint="eastAsia" w:ascii="宋体" w:hAnsi="宋体" w:cs="Times New Roman"/>
          <w:sz w:val="28"/>
          <w:szCs w:val="28"/>
          <w:highlight w:val="none"/>
        </w:rPr>
        <w:t>安全</w:t>
      </w:r>
      <w:r>
        <w:rPr>
          <w:rFonts w:ascii="宋体" w:hAnsi="宋体" w:cs="Times New Roman"/>
          <w:sz w:val="28"/>
          <w:szCs w:val="28"/>
          <w:highlight w:val="none"/>
        </w:rPr>
        <w:t>事故后，乙方应按有关规定立即</w:t>
      </w:r>
      <w:r>
        <w:rPr>
          <w:rFonts w:hint="eastAsia" w:ascii="宋体" w:hAnsi="宋体" w:cs="Times New Roman"/>
          <w:sz w:val="28"/>
          <w:szCs w:val="28"/>
          <w:highlight w:val="none"/>
        </w:rPr>
        <w:t>报告本单位负责人</w:t>
      </w:r>
      <w:r>
        <w:rPr>
          <w:rFonts w:ascii="宋体" w:hAnsi="宋体" w:cs="Times New Roman"/>
          <w:sz w:val="28"/>
          <w:szCs w:val="28"/>
          <w:highlight w:val="none"/>
        </w:rPr>
        <w:t>并通知甲方</w:t>
      </w:r>
      <w:r>
        <w:rPr>
          <w:rFonts w:hint="eastAsia" w:ascii="宋体" w:hAnsi="宋体" w:cs="Times New Roman"/>
          <w:sz w:val="28"/>
          <w:szCs w:val="28"/>
          <w:highlight w:val="none"/>
        </w:rPr>
        <w:t>，并在确保安全的情况下立即组织疏散或营救危害区域的受害人员，迅速控制事态发展。</w:t>
      </w:r>
      <w:r>
        <w:rPr>
          <w:rFonts w:ascii="宋体" w:hAnsi="宋体" w:cs="Times New Roman"/>
          <w:sz w:val="28"/>
          <w:szCs w:val="28"/>
          <w:highlight w:val="none"/>
        </w:rPr>
        <w:t>乙方应当妥善保护事故现场以及相关证据，任何部门和个人不得破坏事故现场、毁灭相关证据。</w:t>
      </w:r>
      <w:r>
        <w:rPr>
          <w:rFonts w:hint="eastAsia" w:ascii="宋体" w:hAnsi="宋体" w:cs="Times New Roman"/>
          <w:sz w:val="28"/>
          <w:szCs w:val="28"/>
          <w:highlight w:val="none"/>
        </w:rPr>
        <w:t>因抢救人员、防止事故扩大以及疏通交通等原因，需要移动事故现场物件的，应当作出标志，绘制现场简图并作出书面记录，妥善保存现场重要痕迹、物证。</w:t>
      </w:r>
      <w:r>
        <w:rPr>
          <w:rFonts w:ascii="宋体" w:hAnsi="宋体" w:cs="Times New Roman"/>
          <w:sz w:val="28"/>
          <w:szCs w:val="28"/>
          <w:highlight w:val="none"/>
        </w:rPr>
        <w:t>同时应配合政府事故调查组开展事故调查，并根据情况对事故开展内部调查。</w:t>
      </w:r>
      <w:r>
        <w:rPr>
          <w:rFonts w:hint="eastAsia" w:ascii="宋体" w:hAnsi="宋体" w:cs="Times New Roman"/>
          <w:sz w:val="28"/>
          <w:szCs w:val="28"/>
          <w:highlight w:val="none"/>
          <w:lang w:val="en-US" w:eastAsia="zh-CN"/>
        </w:rPr>
        <w:t>因乙方原因造成的</w:t>
      </w:r>
      <w:r>
        <w:rPr>
          <w:rFonts w:hint="eastAsia" w:ascii="宋体" w:hAnsi="宋体" w:cs="Times New Roman"/>
          <w:sz w:val="28"/>
          <w:szCs w:val="28"/>
          <w:highlight w:val="none"/>
        </w:rPr>
        <w:t>事故所引起的经济损失费用由乙方承担，包括但不限于善后处理费用、财产损失、停产损失、诉讼费和其他有关费用</w:t>
      </w:r>
      <w:r>
        <w:rPr>
          <w:rFonts w:ascii="宋体" w:hAnsi="宋体" w:cs="Times New Roman"/>
          <w:sz w:val="28"/>
          <w:szCs w:val="28"/>
          <w:highlight w:val="none"/>
        </w:rPr>
        <w:t>。</w:t>
      </w:r>
      <w:r>
        <w:rPr>
          <w:rFonts w:hint="eastAsia" w:ascii="宋体" w:hAnsi="宋体" w:cs="Times New Roman"/>
          <w:sz w:val="28"/>
          <w:szCs w:val="28"/>
          <w:highlight w:val="none"/>
        </w:rPr>
        <w:t>事故责任方为乙方时，除了接受</w:t>
      </w:r>
      <w:r>
        <w:rPr>
          <w:rFonts w:ascii="宋体" w:hAnsi="宋体" w:cs="Times New Roman"/>
          <w:sz w:val="28"/>
          <w:szCs w:val="28"/>
          <w:highlight w:val="none"/>
        </w:rPr>
        <w:t>国家、地方有关安全</w:t>
      </w:r>
      <w:r>
        <w:rPr>
          <w:rFonts w:hint="eastAsia" w:ascii="宋体" w:hAnsi="宋体" w:cs="Times New Roman"/>
          <w:sz w:val="28"/>
          <w:szCs w:val="28"/>
          <w:highlight w:val="none"/>
        </w:rPr>
        <w:t>法律</w:t>
      </w:r>
      <w:r>
        <w:rPr>
          <w:rFonts w:ascii="宋体" w:hAnsi="宋体" w:cs="Times New Roman"/>
          <w:sz w:val="28"/>
          <w:szCs w:val="28"/>
          <w:highlight w:val="none"/>
        </w:rPr>
        <w:t>法规处罚</w:t>
      </w:r>
      <w:r>
        <w:rPr>
          <w:rFonts w:hint="eastAsia" w:ascii="宋体" w:hAnsi="宋体" w:cs="Times New Roman"/>
          <w:sz w:val="28"/>
          <w:szCs w:val="28"/>
          <w:highlight w:val="none"/>
        </w:rPr>
        <w:t>之外</w:t>
      </w:r>
      <w:r>
        <w:rPr>
          <w:rFonts w:ascii="宋体" w:hAnsi="宋体" w:cs="Times New Roman"/>
          <w:sz w:val="28"/>
          <w:szCs w:val="28"/>
          <w:highlight w:val="none"/>
        </w:rPr>
        <w:t>，还须按照附件2《工程安全文明环保施工合同》支付违约金。</w:t>
      </w:r>
    </w:p>
    <w:p w14:paraId="684CB6E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12．技术成果权归属</w:t>
      </w:r>
    </w:p>
    <w:p w14:paraId="176D0B4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在施工过程中所取得的专利或专用技术等技术成果权属归：</w:t>
      </w:r>
    </w:p>
    <w:p w14:paraId="18DD99F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sym w:font="Wingdings 2" w:char="0052"/>
      </w:r>
      <w:r>
        <w:rPr>
          <w:rFonts w:ascii="宋体" w:hAnsi="宋体" w:cs="Times New Roman"/>
          <w:sz w:val="28"/>
          <w:szCs w:val="28"/>
          <w:highlight w:val="none"/>
        </w:rPr>
        <w:t xml:space="preserve">  甲方所有。</w:t>
      </w:r>
    </w:p>
    <w:p w14:paraId="33EC9A0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sym w:font="Wingdings 2" w:char="00A3"/>
      </w:r>
      <w:r>
        <w:rPr>
          <w:rFonts w:ascii="宋体" w:hAnsi="宋体" w:cs="Times New Roman"/>
          <w:sz w:val="28"/>
          <w:szCs w:val="28"/>
          <w:highlight w:val="none"/>
        </w:rPr>
        <w:t xml:space="preserve">  乙方所有</w:t>
      </w:r>
      <w:r>
        <w:rPr>
          <w:rFonts w:hint="eastAsia" w:ascii="宋体" w:hAnsi="宋体" w:cs="Times New Roman"/>
          <w:sz w:val="28"/>
          <w:szCs w:val="28"/>
          <w:highlight w:val="none"/>
        </w:rPr>
        <w:t>，</w:t>
      </w:r>
      <w:r>
        <w:rPr>
          <w:rFonts w:ascii="宋体" w:hAnsi="宋体" w:cs="Times New Roman"/>
          <w:sz w:val="28"/>
          <w:szCs w:val="28"/>
          <w:highlight w:val="none"/>
        </w:rPr>
        <w:t>甲方有权无偿使用。</w:t>
      </w:r>
    </w:p>
    <w:p w14:paraId="5F3E0B7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sym w:font="Wingdings 2" w:char="00A3"/>
      </w:r>
      <w:r>
        <w:rPr>
          <w:rFonts w:ascii="宋体" w:hAnsi="宋体" w:cs="Times New Roman"/>
          <w:sz w:val="28"/>
          <w:szCs w:val="28"/>
          <w:highlight w:val="none"/>
        </w:rPr>
        <w:t xml:space="preserve"> 双方共有（收益分成比例双方另行协商）。</w:t>
      </w:r>
    </w:p>
    <w:p w14:paraId="00CCB79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13．保密</w:t>
      </w:r>
    </w:p>
    <w:p w14:paraId="6570824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13.1 在合同履行期间，乙方所获得的图纸资料及在施工过程中所取得的与履行合同有关的工作成果属甲方所有，乙方负有保密义务。未经甲方书面同意，乙方不得在合同期内或合同履行完毕后以任何方式泄露</w:t>
      </w:r>
      <w:r>
        <w:rPr>
          <w:rFonts w:hint="eastAsia" w:ascii="宋体" w:hAnsi="宋体" w:cs="Times New Roman"/>
          <w:sz w:val="28"/>
          <w:szCs w:val="28"/>
          <w:highlight w:val="none"/>
          <w:lang w:eastAsia="zh-CN"/>
        </w:rPr>
        <w:t>，</w:t>
      </w:r>
      <w:r>
        <w:rPr>
          <w:rFonts w:hint="eastAsia" w:ascii="宋体" w:hAnsi="宋体" w:cs="Times New Roman"/>
          <w:sz w:val="28"/>
          <w:szCs w:val="28"/>
          <w:highlight w:val="none"/>
          <w:lang w:val="en-US" w:eastAsia="zh-CN"/>
        </w:rPr>
        <w:t>但有权为履行本合同而自行使用或提供给分包人使用</w:t>
      </w:r>
      <w:r>
        <w:rPr>
          <w:rFonts w:ascii="宋体" w:hAnsi="宋体" w:cs="Times New Roman"/>
          <w:sz w:val="28"/>
          <w:szCs w:val="28"/>
          <w:highlight w:val="none"/>
        </w:rPr>
        <w:t>。</w:t>
      </w:r>
    </w:p>
    <w:p w14:paraId="7ACB31B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13.2 未经甲方书面同意，乙方不得把与合同有关的资料给出版社和新闻机构发表或学术引用，或者使用本合同任何部分进行促销和</w:t>
      </w:r>
      <w:r>
        <w:rPr>
          <w:rFonts w:hint="eastAsia" w:ascii="宋体" w:hAnsi="宋体" w:cs="Times New Roman"/>
          <w:sz w:val="28"/>
          <w:szCs w:val="28"/>
          <w:highlight w:val="none"/>
        </w:rPr>
        <w:t>作</w:t>
      </w:r>
      <w:r>
        <w:rPr>
          <w:rFonts w:ascii="宋体" w:hAnsi="宋体" w:cs="Times New Roman"/>
          <w:sz w:val="28"/>
          <w:szCs w:val="28"/>
          <w:highlight w:val="none"/>
        </w:rPr>
        <w:t>广告宣传。</w:t>
      </w:r>
    </w:p>
    <w:p w14:paraId="1B029A5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13.3 未经甲方书面同意，乙方不得应用本工程图纸资料。</w:t>
      </w:r>
    </w:p>
    <w:p w14:paraId="67F9FBE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13.4 对于乙方使用的新技术和新方法，甲方负有保密义务，未经乙方书面同意，不得以任何方式泄露。</w:t>
      </w:r>
    </w:p>
    <w:p w14:paraId="01F010E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13.5 本合同的保密条款在合同终止后，同样具有约束力。</w:t>
      </w:r>
    </w:p>
    <w:p w14:paraId="1565003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14．权利瑕疵担保</w:t>
      </w:r>
    </w:p>
    <w:p w14:paraId="68D2A58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14．1 因执行本合同的需要，合同一方提供的与本合同工程技术有关的设备、材料、工序工艺及其他知识产权，应保障对方在使用时不存在权利上的瑕疵，不会发生侵犯第</w:t>
      </w:r>
      <w:r>
        <w:rPr>
          <w:rFonts w:hint="eastAsia" w:ascii="宋体" w:hAnsi="宋体" w:cs="Times New Roman"/>
          <w:sz w:val="28"/>
          <w:szCs w:val="28"/>
          <w:highlight w:val="none"/>
        </w:rPr>
        <w:t>三方</w:t>
      </w:r>
      <w:r>
        <w:rPr>
          <w:rFonts w:ascii="宋体" w:hAnsi="宋体" w:cs="Times New Roman"/>
          <w:sz w:val="28"/>
          <w:szCs w:val="28"/>
          <w:highlight w:val="none"/>
        </w:rPr>
        <w:t>专利权、商业机密等情况。若发生侵害第</w:t>
      </w:r>
      <w:r>
        <w:rPr>
          <w:rFonts w:hint="eastAsia" w:ascii="宋体" w:hAnsi="宋体" w:cs="Times New Roman"/>
          <w:sz w:val="28"/>
          <w:szCs w:val="28"/>
          <w:highlight w:val="none"/>
        </w:rPr>
        <w:t>三方</w:t>
      </w:r>
      <w:r>
        <w:rPr>
          <w:rFonts w:ascii="宋体" w:hAnsi="宋体" w:cs="Times New Roman"/>
          <w:sz w:val="28"/>
          <w:szCs w:val="28"/>
          <w:highlight w:val="none"/>
        </w:rPr>
        <w:t>权利的情况，提供方应负责与第</w:t>
      </w:r>
      <w:r>
        <w:rPr>
          <w:rFonts w:hint="eastAsia" w:ascii="宋体" w:hAnsi="宋体" w:cs="Times New Roman"/>
          <w:sz w:val="28"/>
          <w:szCs w:val="28"/>
          <w:highlight w:val="none"/>
        </w:rPr>
        <w:t>三方</w:t>
      </w:r>
      <w:r>
        <w:rPr>
          <w:rFonts w:ascii="宋体" w:hAnsi="宋体" w:cs="Times New Roman"/>
          <w:sz w:val="28"/>
          <w:szCs w:val="28"/>
          <w:highlight w:val="none"/>
        </w:rPr>
        <w:t>交涉，并承担由此产生的全部法律和经济责任。因侵权给合同相对人造成损失的应给予赔偿。</w:t>
      </w:r>
    </w:p>
    <w:p w14:paraId="7BCE9D8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15．对外关系</w:t>
      </w:r>
    </w:p>
    <w:p w14:paraId="4F603DC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15.1 乙方与其他专业服务队伍之间的工作关系由甲方负责协调，其他对外关系由乙方负责。</w:t>
      </w:r>
    </w:p>
    <w:p w14:paraId="4791901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16. 保险</w:t>
      </w:r>
    </w:p>
    <w:p w14:paraId="2C2ABBA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16.1</w:t>
      </w:r>
      <w:r>
        <w:rPr>
          <w:rFonts w:hint="eastAsia" w:ascii="宋体" w:hAnsi="宋体" w:cs="Times New Roman"/>
          <w:sz w:val="28"/>
          <w:szCs w:val="28"/>
          <w:highlight w:val="none"/>
          <w:lang w:val="en-US" w:eastAsia="zh-CN"/>
        </w:rPr>
        <w:t>乙</w:t>
      </w:r>
      <w:r>
        <w:rPr>
          <w:rFonts w:ascii="宋体" w:hAnsi="宋体" w:cs="Times New Roman"/>
          <w:sz w:val="28"/>
          <w:szCs w:val="28"/>
          <w:highlight w:val="none"/>
        </w:rPr>
        <w:t>方应当</w:t>
      </w:r>
      <w:r>
        <w:rPr>
          <w:rFonts w:hint="eastAsia" w:ascii="宋体" w:hAnsi="宋体" w:cs="Times New Roman"/>
          <w:sz w:val="28"/>
          <w:szCs w:val="28"/>
          <w:highlight w:val="none"/>
          <w:lang w:val="en-US" w:eastAsia="zh-CN"/>
        </w:rPr>
        <w:t>按本合同约定</w:t>
      </w:r>
      <w:r>
        <w:rPr>
          <w:rFonts w:ascii="宋体" w:hAnsi="宋体" w:cs="Times New Roman"/>
          <w:sz w:val="28"/>
          <w:szCs w:val="28"/>
          <w:highlight w:val="none"/>
        </w:rPr>
        <w:t>进行保险</w:t>
      </w:r>
      <w:r>
        <w:rPr>
          <w:rFonts w:hint="eastAsia" w:ascii="宋体" w:hAnsi="宋体" w:cs="Times New Roman"/>
          <w:sz w:val="28"/>
          <w:szCs w:val="28"/>
          <w:highlight w:val="none"/>
          <w:lang w:val="en-US" w:eastAsia="zh-CN"/>
        </w:rPr>
        <w:t>购买</w:t>
      </w:r>
      <w:r>
        <w:rPr>
          <w:rFonts w:ascii="宋体" w:hAnsi="宋体" w:cs="Times New Roman"/>
          <w:sz w:val="28"/>
          <w:szCs w:val="28"/>
          <w:highlight w:val="none"/>
        </w:rPr>
        <w:t>并承担其费用。</w:t>
      </w:r>
    </w:p>
    <w:p w14:paraId="2D91D6A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17．违约责任</w:t>
      </w:r>
    </w:p>
    <w:p w14:paraId="459B1F2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17.1 乙方违约</w:t>
      </w:r>
    </w:p>
    <w:p w14:paraId="2A7BAB1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17.1.1  乙方违约</w:t>
      </w:r>
    </w:p>
    <w:p w14:paraId="7A12E67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在履行合同过程中，乙方发生下述行为之一者属乙方违约：</w:t>
      </w:r>
    </w:p>
    <w:p w14:paraId="591FDA7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乙方无正当理由未按开工通知的要求及时进点组织施工和未按</w:t>
      </w:r>
      <w:r>
        <w:rPr>
          <w:rFonts w:hint="eastAsia" w:ascii="宋体" w:hAnsi="宋体" w:cs="Times New Roman"/>
          <w:sz w:val="28"/>
          <w:szCs w:val="28"/>
          <w:highlight w:val="none"/>
          <w:lang w:val="en-US" w:eastAsia="zh-CN"/>
        </w:rPr>
        <w:t>合同规定</w:t>
      </w:r>
      <w:r>
        <w:rPr>
          <w:rFonts w:ascii="宋体" w:hAnsi="宋体" w:cs="Times New Roman"/>
          <w:sz w:val="28"/>
          <w:szCs w:val="28"/>
          <w:highlight w:val="none"/>
        </w:rPr>
        <w:t>有效地开展施工准备，造成工期延误。</w:t>
      </w:r>
    </w:p>
    <w:p w14:paraId="3DDB623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乙方违反第18条的规定私自将合同或合同的任何部分或任何权利转让给第三人，或私自将工程或工程的一部分分包出去。</w:t>
      </w:r>
    </w:p>
    <w:p w14:paraId="13DA720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未经甲方批准，乙方私自将已按合同规定进入工地的工程设备、施工设备、临时工程或材料撤离工地。</w:t>
      </w:r>
    </w:p>
    <w:p w14:paraId="622A000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(4) 乙方违反第7.5.1款的规定使用了不合格的材料和工程设备，并拒绝按第7.5.2款的规定处理不合格的工程、材料和工程设备。</w:t>
      </w:r>
    </w:p>
    <w:p w14:paraId="03EE1AE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 由于乙方拒绝按合同进度计划及时完成合同规定的工程，而又未按第5.2.2款规定采取有效措施赶上进度，造成工期延误。</w:t>
      </w:r>
    </w:p>
    <w:p w14:paraId="713EE7F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 乙方在</w:t>
      </w:r>
      <w:r>
        <w:rPr>
          <w:rFonts w:hint="eastAsia" w:ascii="宋体" w:hAnsi="宋体" w:cs="Times New Roman"/>
          <w:sz w:val="28"/>
          <w:szCs w:val="28"/>
          <w:highlight w:val="none"/>
        </w:rPr>
        <w:t>质量保修期</w:t>
      </w:r>
      <w:r>
        <w:rPr>
          <w:rFonts w:ascii="宋体" w:hAnsi="宋体" w:cs="Times New Roman"/>
          <w:sz w:val="28"/>
          <w:szCs w:val="28"/>
          <w:highlight w:val="none"/>
        </w:rPr>
        <w:t>内拒绝按第</w:t>
      </w:r>
      <w:r>
        <w:rPr>
          <w:rFonts w:hint="eastAsia" w:ascii="宋体" w:hAnsi="宋体" w:cs="Times New Roman"/>
          <w:sz w:val="28"/>
          <w:szCs w:val="28"/>
          <w:highlight w:val="none"/>
        </w:rPr>
        <w:t>8.2.13</w:t>
      </w:r>
      <w:r>
        <w:rPr>
          <w:rFonts w:ascii="宋体" w:hAnsi="宋体" w:cs="Times New Roman"/>
          <w:sz w:val="28"/>
          <w:szCs w:val="28"/>
          <w:highlight w:val="none"/>
        </w:rPr>
        <w:t>条的规定和工程</w:t>
      </w:r>
      <w:r>
        <w:rPr>
          <w:rFonts w:hint="eastAsia" w:ascii="宋体" w:hAnsi="宋体" w:cs="Times New Roman"/>
          <w:sz w:val="28"/>
          <w:szCs w:val="28"/>
          <w:highlight w:val="none"/>
          <w:lang w:val="en-US" w:eastAsia="zh-CN"/>
        </w:rPr>
        <w:t>竣工验收</w:t>
      </w:r>
      <w:r>
        <w:rPr>
          <w:rFonts w:ascii="宋体" w:hAnsi="宋体" w:cs="Times New Roman"/>
          <w:sz w:val="28"/>
          <w:szCs w:val="28"/>
          <w:highlight w:val="none"/>
        </w:rPr>
        <w:t>证书中所列的缺陷清单内容进行修复，或经甲方检验认为修复质量不合格而乙方拒绝再进行修补。</w:t>
      </w:r>
    </w:p>
    <w:p w14:paraId="1612BDB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(7) 乙方否认合同有效或拒绝履行合同规定的乙方义务，或由于法律、财务等原因导致乙方无法继续履行或实质上已停止履行本合同的义务。</w:t>
      </w:r>
    </w:p>
    <w:p w14:paraId="226484F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（8）因乙方原因发生工程质量事故。</w:t>
      </w:r>
    </w:p>
    <w:p w14:paraId="467B491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（9）非经甲方同意，乙方用于本工程的材料与</w:t>
      </w:r>
      <w:r>
        <w:rPr>
          <w:rFonts w:hint="eastAsia" w:ascii="宋体" w:hAnsi="宋体" w:cs="Times New Roman"/>
          <w:sz w:val="28"/>
          <w:szCs w:val="28"/>
          <w:highlight w:val="none"/>
        </w:rPr>
        <w:t>比选申请</w:t>
      </w:r>
      <w:r>
        <w:rPr>
          <w:rFonts w:ascii="宋体" w:hAnsi="宋体" w:cs="Times New Roman"/>
          <w:sz w:val="28"/>
          <w:szCs w:val="28"/>
          <w:highlight w:val="none"/>
        </w:rPr>
        <w:t>文件不一致的，视为乙方违约。乙方必须在24小时内拆换与</w:t>
      </w:r>
      <w:r>
        <w:rPr>
          <w:rFonts w:hint="eastAsia" w:ascii="宋体" w:hAnsi="宋体" w:cs="Times New Roman"/>
          <w:sz w:val="28"/>
          <w:szCs w:val="28"/>
          <w:highlight w:val="none"/>
        </w:rPr>
        <w:t>比选申请</w:t>
      </w:r>
      <w:r>
        <w:rPr>
          <w:rFonts w:ascii="宋体" w:hAnsi="宋体" w:cs="Times New Roman"/>
          <w:sz w:val="28"/>
          <w:szCs w:val="28"/>
          <w:highlight w:val="none"/>
        </w:rPr>
        <w:t>文件不一致的材料或设备，并承担由此造成的工期延误及其它损失，且每发生一次此类情况，乙方须向甲方支付违约金5000元。</w:t>
      </w:r>
    </w:p>
    <w:p w14:paraId="12FA674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（10）若乙方不按时报送报表，或报送报表质量不合格，甲方有权要求乙方更换相关人员，同时乙方向甲方</w:t>
      </w:r>
      <w:r>
        <w:rPr>
          <w:rFonts w:hint="eastAsia" w:ascii="宋体" w:hAnsi="宋体" w:cs="Times New Roman"/>
          <w:sz w:val="28"/>
          <w:szCs w:val="28"/>
          <w:highlight w:val="none"/>
        </w:rPr>
        <w:t>缴纳</w:t>
      </w:r>
      <w:r>
        <w:rPr>
          <w:rFonts w:ascii="宋体" w:hAnsi="宋体" w:cs="Times New Roman"/>
          <w:sz w:val="28"/>
          <w:szCs w:val="28"/>
          <w:highlight w:val="none"/>
        </w:rPr>
        <w:t>违约金1000-5000元。</w:t>
      </w:r>
    </w:p>
    <w:p w14:paraId="26057EFD">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rPr>
        <w:t>（11）若</w:t>
      </w:r>
      <w:r>
        <w:rPr>
          <w:rFonts w:hint="eastAsia" w:ascii="宋体" w:hAnsi="宋体" w:cs="Times New Roman"/>
          <w:sz w:val="28"/>
          <w:szCs w:val="28"/>
          <w:highlight w:val="none"/>
          <w:lang w:val="en-US" w:eastAsia="zh-CN"/>
        </w:rPr>
        <w:t>甲方</w:t>
      </w:r>
      <w:r>
        <w:rPr>
          <w:rFonts w:hint="eastAsia" w:ascii="宋体" w:hAnsi="宋体" w:cs="Times New Roman"/>
          <w:sz w:val="28"/>
          <w:szCs w:val="28"/>
          <w:highlight w:val="none"/>
        </w:rPr>
        <w:t>或监理人发现有未签订劳动合同的劳动者在现场施工，</w:t>
      </w:r>
      <w:r>
        <w:rPr>
          <w:rFonts w:hint="eastAsia" w:ascii="宋体" w:hAnsi="宋体" w:cs="Times New Roman"/>
          <w:sz w:val="28"/>
          <w:szCs w:val="28"/>
          <w:highlight w:val="none"/>
          <w:lang w:val="en-US" w:eastAsia="zh-CN"/>
        </w:rPr>
        <w:t>乙方</w:t>
      </w:r>
      <w:r>
        <w:rPr>
          <w:rFonts w:hint="eastAsia" w:ascii="宋体" w:hAnsi="宋体" w:cs="Times New Roman"/>
          <w:sz w:val="28"/>
          <w:szCs w:val="28"/>
          <w:highlight w:val="none"/>
        </w:rPr>
        <w:t>应向</w:t>
      </w:r>
      <w:r>
        <w:rPr>
          <w:rFonts w:hint="eastAsia" w:ascii="宋体" w:hAnsi="宋体" w:cs="Times New Roman"/>
          <w:sz w:val="28"/>
          <w:szCs w:val="28"/>
          <w:highlight w:val="none"/>
          <w:lang w:val="en-US" w:eastAsia="zh-CN"/>
        </w:rPr>
        <w:t>甲方</w:t>
      </w:r>
      <w:r>
        <w:rPr>
          <w:rFonts w:hint="eastAsia" w:ascii="宋体" w:hAnsi="宋体" w:cs="Times New Roman"/>
          <w:sz w:val="28"/>
          <w:szCs w:val="28"/>
          <w:highlight w:val="none"/>
        </w:rPr>
        <w:t>支付违约金</w:t>
      </w:r>
      <w:r>
        <w:rPr>
          <w:rFonts w:hint="eastAsia" w:ascii="宋体" w:hAnsi="宋体" w:cs="Times New Roman"/>
          <w:sz w:val="28"/>
          <w:szCs w:val="28"/>
          <w:highlight w:val="none"/>
          <w:u w:val="single"/>
          <w:lang w:val="en-US" w:eastAsia="zh-CN"/>
        </w:rPr>
        <w:t xml:space="preserve"> 2000 </w:t>
      </w:r>
      <w:r>
        <w:rPr>
          <w:rFonts w:hint="eastAsia" w:ascii="宋体" w:hAnsi="宋体" w:cs="Times New Roman"/>
          <w:sz w:val="28"/>
          <w:szCs w:val="28"/>
          <w:highlight w:val="none"/>
        </w:rPr>
        <w:t>元/人次。若</w:t>
      </w:r>
      <w:r>
        <w:rPr>
          <w:rFonts w:hint="eastAsia" w:ascii="宋体" w:hAnsi="宋体" w:cs="Times New Roman"/>
          <w:sz w:val="28"/>
          <w:szCs w:val="28"/>
          <w:highlight w:val="none"/>
          <w:lang w:val="en-US" w:eastAsia="zh-CN"/>
        </w:rPr>
        <w:t>甲方</w:t>
      </w:r>
      <w:r>
        <w:rPr>
          <w:rFonts w:hint="eastAsia" w:ascii="宋体" w:hAnsi="宋体" w:cs="Times New Roman"/>
          <w:sz w:val="28"/>
          <w:szCs w:val="28"/>
          <w:highlight w:val="none"/>
        </w:rPr>
        <w:t>或监理人发现工地上有未签订劳务分包合同或劳务分包合同未进行备案的劳务企业人员在现场施工，</w:t>
      </w:r>
      <w:r>
        <w:rPr>
          <w:rFonts w:hint="eastAsia" w:ascii="宋体" w:hAnsi="宋体" w:cs="Times New Roman"/>
          <w:sz w:val="28"/>
          <w:szCs w:val="28"/>
          <w:highlight w:val="none"/>
          <w:lang w:val="en-US" w:eastAsia="zh-CN"/>
        </w:rPr>
        <w:t>乙方</w:t>
      </w:r>
      <w:r>
        <w:rPr>
          <w:rFonts w:hint="eastAsia" w:ascii="宋体" w:hAnsi="宋体" w:cs="Times New Roman"/>
          <w:sz w:val="28"/>
          <w:szCs w:val="28"/>
          <w:highlight w:val="none"/>
        </w:rPr>
        <w:t>应向</w:t>
      </w:r>
      <w:r>
        <w:rPr>
          <w:rFonts w:hint="eastAsia" w:ascii="宋体" w:hAnsi="宋体" w:cs="Times New Roman"/>
          <w:sz w:val="28"/>
          <w:szCs w:val="28"/>
          <w:highlight w:val="none"/>
          <w:lang w:val="en-US" w:eastAsia="zh-CN"/>
        </w:rPr>
        <w:t>甲方</w:t>
      </w:r>
      <w:r>
        <w:rPr>
          <w:rFonts w:hint="eastAsia" w:ascii="宋体" w:hAnsi="宋体" w:cs="Times New Roman"/>
          <w:sz w:val="28"/>
          <w:szCs w:val="28"/>
          <w:highlight w:val="none"/>
        </w:rPr>
        <w:t>支付违约金</w:t>
      </w:r>
      <w:r>
        <w:rPr>
          <w:rFonts w:hint="eastAsia" w:ascii="宋体" w:hAnsi="宋体" w:cs="Times New Roman"/>
          <w:sz w:val="28"/>
          <w:szCs w:val="28"/>
          <w:highlight w:val="none"/>
          <w:u w:val="single"/>
          <w:lang w:val="en-US" w:eastAsia="zh-CN"/>
        </w:rPr>
        <w:t xml:space="preserve"> 2000 </w:t>
      </w:r>
      <w:r>
        <w:rPr>
          <w:rFonts w:hint="eastAsia" w:ascii="宋体" w:hAnsi="宋体" w:cs="Times New Roman"/>
          <w:sz w:val="28"/>
          <w:szCs w:val="28"/>
          <w:highlight w:val="none"/>
        </w:rPr>
        <w:t>元/人次。</w:t>
      </w:r>
    </w:p>
    <w:p w14:paraId="715368F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17.1.2 对承包违约发出警告</w:t>
      </w:r>
    </w:p>
    <w:p w14:paraId="258E97B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发生第17.1款的违约行为时，甲方应及时向乙方发出书面警告限令其在收到书面警告后的5天内予以改正。乙方应立即采取有效措施认真改正，并尽可能挽回由于违约造成的延误和损失。由于乙方采取改正措施所增加的费用，应由乙方承担。</w:t>
      </w:r>
    </w:p>
    <w:p w14:paraId="3BA1289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17.1.3 责令乙方停工整改</w:t>
      </w:r>
    </w:p>
    <w:p w14:paraId="37CBA59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在收到书面警告后的5天内仍不采取有效措施改正其违约行为，继续延误工期或严重影响工程质量，甚至危及工程安全，甲方可暂停支付工程价款，并按规定暂停其工程或部分工程施工，责令其停工整改，并限令乙方在3天内提交整改报告报送甲方，由此增加的费用和工期延误责任由乙方承担。</w:t>
      </w:r>
    </w:p>
    <w:p w14:paraId="06C313A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17.1.4 乙方违约解除合同</w:t>
      </w:r>
    </w:p>
    <w:p w14:paraId="02CE33C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发出停工整改通知7天后，乙方继续无视甲方的指示，仍不提交整改报告，亦不采取整改措施，则甲方可通知乙方解除合同。甲方发出解除通知3天后派员进驻工地直接监管工程，使用乙方设备、临时工程和材料，另行组织人员或委托其他单位施工，但甲方的这一行动不免除乙方按合同规定应负的责任。</w:t>
      </w:r>
    </w:p>
    <w:p w14:paraId="64CA9AF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17.1.5 解除合同后的估价</w:t>
      </w:r>
    </w:p>
    <w:p w14:paraId="1409BA6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因乙方违约解除合同后，甲方应尽快通过调查取证并与乙方协商后确定并证明：</w:t>
      </w:r>
    </w:p>
    <w:p w14:paraId="2459B1D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在解除合同时，乙方根据合同实际完成的经甲方</w:t>
      </w:r>
      <w:r>
        <w:rPr>
          <w:rFonts w:hint="eastAsia" w:ascii="宋体" w:hAnsi="宋体" w:cs="Times New Roman"/>
          <w:sz w:val="28"/>
          <w:szCs w:val="28"/>
          <w:highlight w:val="none"/>
        </w:rPr>
        <w:t>书面</w:t>
      </w:r>
      <w:r>
        <w:rPr>
          <w:rFonts w:ascii="宋体" w:hAnsi="宋体" w:cs="Times New Roman"/>
          <w:sz w:val="28"/>
          <w:szCs w:val="28"/>
          <w:highlight w:val="none"/>
        </w:rPr>
        <w:t>认可的工作已经得到或应得到的金额。</w:t>
      </w:r>
    </w:p>
    <w:p w14:paraId="11D3173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(2)已经部分使用的材料、乙方设备和临时工程等的估算金额。</w:t>
      </w:r>
    </w:p>
    <w:p w14:paraId="7602EAC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17.1.6 解除合同后的付款</w:t>
      </w:r>
    </w:p>
    <w:p w14:paraId="24CC4DE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若因乙方违约解除合同，则甲方应暂停对乙方的一切付款，并应在解除合同后</w:t>
      </w:r>
      <w:r>
        <w:rPr>
          <w:rFonts w:hint="eastAsia" w:ascii="宋体" w:hAnsi="宋体" w:cs="Times New Roman"/>
          <w:sz w:val="28"/>
          <w:szCs w:val="28"/>
          <w:highlight w:val="none"/>
          <w:lang w:val="en-US" w:eastAsia="zh-CN"/>
        </w:rPr>
        <w:t>合理</w:t>
      </w:r>
      <w:r>
        <w:rPr>
          <w:rFonts w:ascii="宋体" w:hAnsi="宋体" w:cs="Times New Roman"/>
          <w:sz w:val="28"/>
          <w:szCs w:val="28"/>
          <w:highlight w:val="none"/>
        </w:rPr>
        <w:t>的时间</w:t>
      </w:r>
      <w:r>
        <w:rPr>
          <w:rFonts w:hint="eastAsia" w:ascii="宋体" w:hAnsi="宋体" w:cs="Times New Roman"/>
          <w:sz w:val="28"/>
          <w:szCs w:val="28"/>
          <w:highlight w:val="none"/>
          <w:lang w:val="en-US" w:eastAsia="zh-CN"/>
        </w:rPr>
        <w:t>内</w:t>
      </w:r>
      <w:r>
        <w:rPr>
          <w:rFonts w:ascii="宋体" w:hAnsi="宋体" w:cs="Times New Roman"/>
          <w:sz w:val="28"/>
          <w:szCs w:val="28"/>
          <w:highlight w:val="none"/>
        </w:rPr>
        <w:t>，查清以下付款金额。</w:t>
      </w:r>
    </w:p>
    <w:p w14:paraId="482D2B5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乙方按合同规定已完成的各项工作应得的金额和其它应得的金额；</w:t>
      </w:r>
    </w:p>
    <w:p w14:paraId="316FAAE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乙方已获得甲方的各项付款金额；</w:t>
      </w:r>
    </w:p>
    <w:p w14:paraId="70AAA85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乙方按合同规定应支付的逾期竣工违约金和其它应付金额；</w:t>
      </w:r>
    </w:p>
    <w:p w14:paraId="7191289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4) 由于解除合同，乙方</w:t>
      </w:r>
      <w:r>
        <w:rPr>
          <w:rFonts w:hint="eastAsia" w:ascii="宋体" w:hAnsi="宋体" w:cs="Times New Roman"/>
          <w:sz w:val="28"/>
          <w:szCs w:val="28"/>
          <w:highlight w:val="none"/>
        </w:rPr>
        <w:t>向甲方支付</w:t>
      </w:r>
      <w:r>
        <w:rPr>
          <w:rFonts w:hint="eastAsia" w:ascii="宋体" w:hAnsi="宋体" w:cs="Times New Roman"/>
          <w:sz w:val="28"/>
          <w:szCs w:val="28"/>
          <w:highlight w:val="none"/>
          <w:lang w:val="en-US" w:eastAsia="zh-CN"/>
        </w:rPr>
        <w:t>暂定</w:t>
      </w:r>
      <w:r>
        <w:rPr>
          <w:rFonts w:hint="eastAsia" w:ascii="宋体" w:hAnsi="宋体" w:cs="Times New Roman"/>
          <w:sz w:val="28"/>
          <w:szCs w:val="28"/>
          <w:highlight w:val="none"/>
        </w:rPr>
        <w:t>合同</w:t>
      </w:r>
      <w:r>
        <w:rPr>
          <w:rFonts w:ascii="宋体" w:hAnsi="宋体" w:cs="Times New Roman"/>
          <w:sz w:val="28"/>
          <w:szCs w:val="28"/>
          <w:highlight w:val="none"/>
        </w:rPr>
        <w:t>总金额的30%</w:t>
      </w:r>
      <w:r>
        <w:rPr>
          <w:rFonts w:hint="eastAsia" w:ascii="宋体" w:hAnsi="宋体" w:cs="Times New Roman"/>
          <w:sz w:val="28"/>
          <w:szCs w:val="28"/>
          <w:highlight w:val="none"/>
        </w:rPr>
        <w:t>作为违约金，若违约金不足以弥补甲方损失，乙方还应另行支付损害赔偿金</w:t>
      </w:r>
      <w:r>
        <w:rPr>
          <w:rFonts w:ascii="宋体" w:hAnsi="宋体" w:cs="Times New Roman"/>
          <w:sz w:val="28"/>
          <w:szCs w:val="28"/>
          <w:highlight w:val="none"/>
        </w:rPr>
        <w:t>。</w:t>
      </w:r>
    </w:p>
    <w:p w14:paraId="3F58179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查清以上付款金额前，甲方可不再向乙方支付合同规定的任何金额。此后，乙方有权得到按本款(1)项 1)减去2)、3)和4)的余额，若上述2)、3)和4)相加的金额超过1)的金额时，则乙方应将超出部分付还给甲方。</w:t>
      </w:r>
      <w:r>
        <w:rPr>
          <w:rFonts w:hint="eastAsia" w:ascii="宋体" w:hAnsi="宋体" w:cs="Times New Roman"/>
          <w:sz w:val="28"/>
          <w:szCs w:val="28"/>
          <w:highlight w:val="none"/>
        </w:rPr>
        <w:t>必要时，甲方有权动用乙方的履约保证金，用于乙方赔付对甲方造成的损失。</w:t>
      </w:r>
    </w:p>
    <w:p w14:paraId="4FD29D5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17.1.7 协议利益的转让</w:t>
      </w:r>
    </w:p>
    <w:p w14:paraId="57DF831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若因乙方违约解除合同，则甲方为保证工程延续施工，有权要求乙方，将其为实施本合同而签订的任何材料和设备的提供或任何服务的协议和利益</w:t>
      </w:r>
      <w:r>
        <w:rPr>
          <w:rFonts w:hint="eastAsia" w:ascii="宋体" w:hAnsi="宋体" w:cs="Times New Roman"/>
          <w:sz w:val="28"/>
          <w:szCs w:val="28"/>
          <w:highlight w:val="none"/>
          <w:lang w:val="en-US" w:eastAsia="zh-CN"/>
        </w:rPr>
        <w:t>按甲方要求进行</w:t>
      </w:r>
      <w:r>
        <w:rPr>
          <w:rFonts w:ascii="宋体" w:hAnsi="宋体" w:cs="Times New Roman"/>
          <w:sz w:val="28"/>
          <w:szCs w:val="28"/>
          <w:highlight w:val="none"/>
        </w:rPr>
        <w:t>转让，并在解除合同后的7天内，通过法律程序办理</w:t>
      </w:r>
      <w:r>
        <w:rPr>
          <w:rFonts w:hint="eastAsia" w:ascii="宋体" w:hAnsi="宋体" w:cs="Times New Roman"/>
          <w:sz w:val="28"/>
          <w:szCs w:val="28"/>
          <w:highlight w:val="none"/>
        </w:rPr>
        <w:t>相关</w:t>
      </w:r>
      <w:r>
        <w:rPr>
          <w:rFonts w:ascii="宋体" w:hAnsi="宋体" w:cs="Times New Roman"/>
          <w:sz w:val="28"/>
          <w:szCs w:val="28"/>
          <w:highlight w:val="none"/>
        </w:rPr>
        <w:t>转让</w:t>
      </w:r>
      <w:r>
        <w:rPr>
          <w:rFonts w:hint="eastAsia" w:ascii="宋体" w:hAnsi="宋体" w:cs="Times New Roman"/>
          <w:sz w:val="28"/>
          <w:szCs w:val="28"/>
          <w:highlight w:val="none"/>
        </w:rPr>
        <w:t>手续</w:t>
      </w:r>
      <w:r>
        <w:rPr>
          <w:rFonts w:ascii="宋体" w:hAnsi="宋体" w:cs="Times New Roman"/>
          <w:sz w:val="28"/>
          <w:szCs w:val="28"/>
          <w:highlight w:val="none"/>
        </w:rPr>
        <w:t>。</w:t>
      </w:r>
    </w:p>
    <w:p w14:paraId="1127DAC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17.1.8 紧急情况下无能力或不愿进行抢救</w:t>
      </w:r>
    </w:p>
    <w:p w14:paraId="14047E9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在工程实施期间或</w:t>
      </w:r>
      <w:r>
        <w:rPr>
          <w:rFonts w:hint="eastAsia" w:ascii="宋体" w:hAnsi="宋体" w:cs="Times New Roman"/>
          <w:sz w:val="28"/>
          <w:szCs w:val="28"/>
          <w:highlight w:val="none"/>
        </w:rPr>
        <w:t>质量保修期</w:t>
      </w:r>
      <w:r>
        <w:rPr>
          <w:rFonts w:ascii="宋体" w:hAnsi="宋体" w:cs="Times New Roman"/>
          <w:sz w:val="28"/>
          <w:szCs w:val="28"/>
          <w:highlight w:val="none"/>
        </w:rPr>
        <w:t>内发生危及工程安全的事件，当甲方通知乙方进行抢救时，乙方声明无能力执行或不愿立即执行，则甲方有权雇用其他人员进行该项工作。由此引起的费用应在甲方支付给乙方的金额中扣除。</w:t>
      </w:r>
    </w:p>
    <w:p w14:paraId="45F970A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17.2 甲方违约</w:t>
      </w:r>
    </w:p>
    <w:p w14:paraId="0E4D57D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17.2.1 甲方违约</w:t>
      </w:r>
    </w:p>
    <w:p w14:paraId="6CF96B6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在履行合同过程中，甲方发生下述行为之一者属甲方违约：</w:t>
      </w:r>
    </w:p>
    <w:p w14:paraId="063CEBEC">
      <w:pPr>
        <w:spacing w:line="600" w:lineRule="exact"/>
        <w:ind w:firstLine="560" w:firstLineChars="200"/>
        <w:rPr>
          <w:rFonts w:ascii="宋体" w:hAnsi="宋体" w:cs="Times New Roman"/>
          <w:sz w:val="28"/>
          <w:szCs w:val="28"/>
          <w:highlight w:val="none"/>
        </w:rPr>
      </w:pPr>
      <w:r>
        <w:rPr>
          <w:rFonts w:hint="default" w:ascii="宋体" w:hAnsi="宋体" w:cs="Times New Roman"/>
          <w:sz w:val="28"/>
          <w:szCs w:val="28"/>
          <w:highlight w:val="none"/>
        </w:rPr>
        <w:t>（1）</w:t>
      </w:r>
      <w:r>
        <w:rPr>
          <w:rFonts w:ascii="宋体" w:hAnsi="宋体" w:cs="Times New Roman"/>
          <w:sz w:val="28"/>
          <w:szCs w:val="28"/>
          <w:highlight w:val="none"/>
        </w:rPr>
        <w:t>甲方未能按合同规定的内容和时间提供施工</w:t>
      </w:r>
      <w:r>
        <w:rPr>
          <w:rFonts w:hint="default" w:ascii="宋体" w:hAnsi="宋体" w:cs="Times New Roman"/>
          <w:sz w:val="28"/>
          <w:szCs w:val="28"/>
          <w:highlight w:val="none"/>
          <w:lang w:val="en-US" w:eastAsia="zh-CN"/>
        </w:rPr>
        <w:t>图纸</w:t>
      </w:r>
      <w:r>
        <w:rPr>
          <w:rFonts w:ascii="宋体" w:hAnsi="宋体" w:cs="Times New Roman"/>
          <w:sz w:val="28"/>
          <w:szCs w:val="28"/>
          <w:highlight w:val="none"/>
        </w:rPr>
        <w:t>和应由甲方负责的部分准备工</w:t>
      </w:r>
      <w:r>
        <w:rPr>
          <w:rFonts w:hint="default" w:ascii="宋体" w:hAnsi="宋体" w:cs="Times New Roman"/>
          <w:sz w:val="28"/>
          <w:szCs w:val="28"/>
          <w:highlight w:val="none"/>
        </w:rPr>
        <w:t>作</w:t>
      </w:r>
      <w:r>
        <w:rPr>
          <w:rFonts w:ascii="宋体" w:hAnsi="宋体" w:cs="Times New Roman"/>
          <w:sz w:val="28"/>
          <w:szCs w:val="28"/>
          <w:highlight w:val="none"/>
        </w:rPr>
        <w:t>等</w:t>
      </w:r>
      <w:r>
        <w:rPr>
          <w:rFonts w:hint="default" w:ascii="宋体" w:hAnsi="宋体" w:cs="Times New Roman"/>
          <w:sz w:val="28"/>
          <w:szCs w:val="28"/>
          <w:highlight w:val="none"/>
        </w:rPr>
        <w:t>未达到</w:t>
      </w:r>
      <w:r>
        <w:rPr>
          <w:rFonts w:ascii="宋体" w:hAnsi="宋体" w:cs="Times New Roman"/>
          <w:sz w:val="28"/>
          <w:szCs w:val="28"/>
          <w:highlight w:val="none"/>
        </w:rPr>
        <w:t>乙方施工所需的条件。</w:t>
      </w:r>
    </w:p>
    <w:p w14:paraId="0B3016D5">
      <w:pPr>
        <w:spacing w:line="600" w:lineRule="exact"/>
        <w:ind w:firstLine="560" w:firstLineChars="200"/>
        <w:rPr>
          <w:rFonts w:ascii="宋体" w:hAnsi="宋体" w:cs="Times New Roman"/>
          <w:sz w:val="28"/>
          <w:szCs w:val="28"/>
          <w:highlight w:val="none"/>
        </w:rPr>
      </w:pPr>
      <w:r>
        <w:rPr>
          <w:rFonts w:hint="default" w:ascii="宋体" w:hAnsi="宋体" w:cs="Times New Roman"/>
          <w:sz w:val="28"/>
          <w:szCs w:val="28"/>
          <w:highlight w:val="none"/>
        </w:rPr>
        <w:t>（2）</w:t>
      </w:r>
      <w:r>
        <w:rPr>
          <w:rFonts w:ascii="宋体" w:hAnsi="宋体" w:cs="Times New Roman"/>
          <w:sz w:val="28"/>
          <w:szCs w:val="28"/>
          <w:highlight w:val="none"/>
        </w:rPr>
        <w:t>甲方未能按合同规定的期限向乙方</w:t>
      </w:r>
      <w:r>
        <w:rPr>
          <w:rFonts w:hint="default" w:ascii="宋体" w:hAnsi="宋体" w:cs="Times New Roman"/>
          <w:sz w:val="28"/>
          <w:szCs w:val="28"/>
          <w:highlight w:val="none"/>
          <w:lang w:val="en-US" w:eastAsia="zh-CN"/>
        </w:rPr>
        <w:t>支付工程款项</w:t>
      </w:r>
      <w:r>
        <w:rPr>
          <w:rFonts w:ascii="宋体" w:hAnsi="宋体" w:cs="Times New Roman"/>
          <w:sz w:val="28"/>
          <w:szCs w:val="28"/>
          <w:highlight w:val="none"/>
        </w:rPr>
        <w:t>。</w:t>
      </w:r>
    </w:p>
    <w:p w14:paraId="16188E8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17.2.2 乙方有权暂停施工</w:t>
      </w:r>
    </w:p>
    <w:p w14:paraId="0BE1BED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若发生第17.2</w:t>
      </w:r>
      <w:r>
        <w:rPr>
          <w:rFonts w:hint="default" w:ascii="宋体" w:hAnsi="宋体" w:cs="Times New Roman"/>
          <w:sz w:val="28"/>
          <w:szCs w:val="28"/>
          <w:highlight w:val="none"/>
        </w:rPr>
        <w:t>.1</w:t>
      </w:r>
      <w:r>
        <w:rPr>
          <w:rFonts w:ascii="宋体" w:hAnsi="宋体" w:cs="Times New Roman"/>
          <w:sz w:val="28"/>
          <w:szCs w:val="28"/>
          <w:highlight w:val="none"/>
        </w:rPr>
        <w:t>款(1)、(2)项的违约时，乙方应及时向甲方发出通知，要求甲方采取有效措施限期提供上述条件</w:t>
      </w:r>
      <w:r>
        <w:rPr>
          <w:rFonts w:hint="default" w:ascii="宋体" w:hAnsi="宋体" w:cs="Times New Roman"/>
          <w:sz w:val="28"/>
          <w:szCs w:val="28"/>
          <w:highlight w:val="none"/>
          <w:lang w:eastAsia="zh-CN"/>
        </w:rPr>
        <w:t>、</w:t>
      </w:r>
      <w:r>
        <w:rPr>
          <w:rFonts w:ascii="宋体" w:hAnsi="宋体" w:cs="Times New Roman"/>
          <w:sz w:val="28"/>
          <w:szCs w:val="28"/>
          <w:highlight w:val="none"/>
        </w:rPr>
        <w:t>图纸</w:t>
      </w:r>
      <w:r>
        <w:rPr>
          <w:rFonts w:hint="default" w:ascii="宋体" w:hAnsi="宋体" w:cs="Times New Roman"/>
          <w:sz w:val="28"/>
          <w:szCs w:val="28"/>
          <w:highlight w:val="none"/>
          <w:lang w:val="en-US" w:eastAsia="zh-CN"/>
        </w:rPr>
        <w:t>以及支付款项</w:t>
      </w:r>
      <w:r>
        <w:rPr>
          <w:rFonts w:ascii="宋体" w:hAnsi="宋体" w:cs="Times New Roman"/>
          <w:sz w:val="28"/>
          <w:szCs w:val="28"/>
          <w:highlight w:val="none"/>
        </w:rPr>
        <w:t>，并有权要求延长工期</w:t>
      </w:r>
      <w:r>
        <w:rPr>
          <w:rFonts w:hint="default" w:ascii="宋体" w:hAnsi="宋体" w:cs="Times New Roman"/>
          <w:sz w:val="28"/>
          <w:szCs w:val="28"/>
          <w:highlight w:val="none"/>
        </w:rPr>
        <w:t>，具体延长时间应经甲方审核通过</w:t>
      </w:r>
      <w:r>
        <w:rPr>
          <w:rFonts w:ascii="宋体" w:hAnsi="宋体" w:cs="Times New Roman"/>
          <w:sz w:val="28"/>
          <w:szCs w:val="28"/>
          <w:highlight w:val="none"/>
        </w:rPr>
        <w:t>。甲方收到乙方通知后，应立即与乙方共同协商补救办法。</w:t>
      </w:r>
    </w:p>
    <w:p w14:paraId="070144A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17.2.3 解除合同后的付款</w:t>
      </w:r>
    </w:p>
    <w:p w14:paraId="60806F8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若因甲方违约</w:t>
      </w:r>
      <w:r>
        <w:rPr>
          <w:rFonts w:hint="default" w:ascii="宋体" w:hAnsi="宋体" w:cs="Times New Roman"/>
          <w:sz w:val="28"/>
          <w:szCs w:val="28"/>
          <w:highlight w:val="none"/>
        </w:rPr>
        <w:t>，双方可协商</w:t>
      </w:r>
      <w:r>
        <w:rPr>
          <w:rFonts w:ascii="宋体" w:hAnsi="宋体" w:cs="Times New Roman"/>
          <w:sz w:val="28"/>
          <w:szCs w:val="28"/>
          <w:highlight w:val="none"/>
        </w:rPr>
        <w:t>解除合同，则甲方应在解除合同后28天内向乙方支付合同解除日以前乙方所完成工程对应的价款和以下费用（应减去已支付给乙方的金额）：</w:t>
      </w:r>
    </w:p>
    <w:p w14:paraId="5CF5A21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即将支付乙方的，或乙方依法应予接收的为该工程合理订购的材料、工程设备和其它物品的费用。甲方一经支付此项费用，该材料、工程设备和其它物品即成为甲方的财产。</w:t>
      </w:r>
    </w:p>
    <w:p w14:paraId="2D7A8A8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已合理开支的、确属乙方为完成工程所发生的而甲方应付未支付的费用。</w:t>
      </w:r>
    </w:p>
    <w:p w14:paraId="45B2ADC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乙方设备运回乙方基地或合同另行规定的地点费用。</w:t>
      </w:r>
    </w:p>
    <w:p w14:paraId="27CB817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(4) 由于解除合同应补偿乙方损失的费用和利润，补偿总金额</w:t>
      </w:r>
      <w:r>
        <w:rPr>
          <w:rFonts w:hint="eastAsia" w:ascii="宋体" w:hAnsi="宋体" w:cs="Times New Roman"/>
          <w:sz w:val="28"/>
          <w:szCs w:val="28"/>
          <w:highlight w:val="none"/>
          <w:lang w:val="en-US" w:eastAsia="zh-CN"/>
        </w:rPr>
        <w:t>以乙方实际损失为限</w:t>
      </w:r>
      <w:r>
        <w:rPr>
          <w:rFonts w:ascii="宋体" w:hAnsi="宋体" w:cs="Times New Roman"/>
          <w:sz w:val="28"/>
          <w:szCs w:val="28"/>
          <w:highlight w:val="none"/>
        </w:rPr>
        <w:t>。</w:t>
      </w:r>
    </w:p>
    <w:p w14:paraId="308FD82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17.3 索赔</w:t>
      </w:r>
    </w:p>
    <w:p w14:paraId="63B20E6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17.3.1 索赔的提出</w:t>
      </w:r>
    </w:p>
    <w:p w14:paraId="6277A0E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乙方有权根据本合同</w:t>
      </w:r>
      <w:r>
        <w:rPr>
          <w:rFonts w:hint="eastAsia" w:ascii="宋体" w:hAnsi="宋体" w:cs="Times New Roman"/>
          <w:sz w:val="28"/>
          <w:szCs w:val="28"/>
          <w:highlight w:val="none"/>
        </w:rPr>
        <w:t>所有</w:t>
      </w:r>
      <w:r>
        <w:rPr>
          <w:rFonts w:ascii="宋体" w:hAnsi="宋体" w:cs="Times New Roman"/>
          <w:sz w:val="28"/>
          <w:szCs w:val="28"/>
          <w:highlight w:val="none"/>
        </w:rPr>
        <w:t>条款及其它有关规定，向甲方索取追加付款，但应在索赔事件发生后的7天内，将索赔意向书提交甲方。在上述意向书发出后的7天内，再向甲方提交索赔申请报告，详细说明索赔理由和索赔费用的计算依据，并应附必要的当时记录和证明材料。如果索赔事件继续发展或继续产生影响，乙方应按甲方要求的合理时间间隔列出索赔累计金额和提出中期索赔申请报告，并在索赔事件影响结束后的7天内，向甲方提交包括最终索赔金额、延续记录、证明材料在内的最终索赔申请报告。</w:t>
      </w:r>
    </w:p>
    <w:p w14:paraId="6EC8901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17.3.2 索赔的处理</w:t>
      </w:r>
    </w:p>
    <w:p w14:paraId="2F4EC40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甲方收到乙方提交的索赔意向书后，应及时核查乙方的当时记录，并可指示乙方提供进一步的支持文件和继续</w:t>
      </w:r>
      <w:r>
        <w:rPr>
          <w:rFonts w:hint="eastAsia" w:ascii="宋体" w:hAnsi="宋体" w:cs="Times New Roman"/>
          <w:sz w:val="28"/>
          <w:szCs w:val="28"/>
          <w:highlight w:val="none"/>
        </w:rPr>
        <w:t>做好</w:t>
      </w:r>
      <w:r>
        <w:rPr>
          <w:rFonts w:ascii="宋体" w:hAnsi="宋体" w:cs="Times New Roman"/>
          <w:sz w:val="28"/>
          <w:szCs w:val="28"/>
          <w:highlight w:val="none"/>
        </w:rPr>
        <w:t>延续记录以备核查，甲方有权要求乙方提交全部记录的副本。</w:t>
      </w:r>
    </w:p>
    <w:p w14:paraId="420696F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甲方收到乙方提交的索赔申请报告和最终索赔申请报告后的28天内，应立即进行审核，在上述期限内将索赔处理决定通知乙方。</w:t>
      </w:r>
    </w:p>
    <w:p w14:paraId="035C30B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乙方应得到的付款不能超过甲方核实后决定的金额。</w:t>
      </w:r>
    </w:p>
    <w:p w14:paraId="19A4F5F1">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18．工程分包</w:t>
      </w:r>
    </w:p>
    <w:p w14:paraId="3501599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lang w:val="zh-TW" w:eastAsia="zh-TW"/>
        </w:rPr>
        <w:t>本项目不允许</w:t>
      </w:r>
      <w:r>
        <w:rPr>
          <w:rFonts w:ascii="宋体" w:hAnsi="宋体" w:cs="Times New Roman"/>
          <w:sz w:val="28"/>
          <w:szCs w:val="28"/>
          <w:highlight w:val="none"/>
          <w:lang w:val="zh-TW"/>
        </w:rPr>
        <w:t>转包或</w:t>
      </w:r>
      <w:r>
        <w:rPr>
          <w:rFonts w:ascii="宋体" w:hAnsi="宋体" w:cs="Times New Roman"/>
          <w:sz w:val="28"/>
          <w:szCs w:val="28"/>
          <w:highlight w:val="none"/>
        </w:rPr>
        <w:t>违法</w:t>
      </w:r>
      <w:r>
        <w:rPr>
          <w:rFonts w:ascii="宋体" w:hAnsi="宋体" w:cs="Times New Roman"/>
          <w:sz w:val="28"/>
          <w:szCs w:val="28"/>
          <w:highlight w:val="none"/>
          <w:lang w:val="zh-TW" w:eastAsia="zh-TW"/>
        </w:rPr>
        <w:t>分包。</w:t>
      </w:r>
    </w:p>
    <w:p w14:paraId="41994D4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19．争议的解决</w:t>
      </w:r>
    </w:p>
    <w:p w14:paraId="5970941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本合同履行过程中发生争议，双方协商解决。如协商不成，通过向</w:t>
      </w:r>
      <w:r>
        <w:rPr>
          <w:rFonts w:hint="eastAsia" w:ascii="宋体" w:hAnsi="宋体" w:cs="Times New Roman"/>
          <w:sz w:val="28"/>
          <w:szCs w:val="28"/>
          <w:highlight w:val="none"/>
          <w:lang w:val="en-US" w:eastAsia="zh-CN"/>
        </w:rPr>
        <w:t>甲方所在地</w:t>
      </w:r>
      <w:r>
        <w:rPr>
          <w:rFonts w:ascii="宋体" w:hAnsi="宋体" w:cs="Times New Roman"/>
          <w:sz w:val="28"/>
          <w:szCs w:val="28"/>
          <w:highlight w:val="none"/>
        </w:rPr>
        <w:t>人民法院提起诉讼的方式解决。</w:t>
      </w:r>
    </w:p>
    <w:p w14:paraId="6AEC7B9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20．组成本合同文件及优先解释顺序如下：</w:t>
      </w:r>
    </w:p>
    <w:p w14:paraId="0CD89CE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20.1本合同</w:t>
      </w:r>
    </w:p>
    <w:p w14:paraId="6C92BAC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20.2</w:t>
      </w:r>
      <w:r>
        <w:rPr>
          <w:rFonts w:hint="eastAsia" w:ascii="宋体" w:hAnsi="宋体" w:cs="Times New Roman"/>
          <w:sz w:val="28"/>
          <w:szCs w:val="28"/>
          <w:highlight w:val="none"/>
        </w:rPr>
        <w:t>中选</w:t>
      </w:r>
      <w:r>
        <w:rPr>
          <w:rFonts w:ascii="宋体" w:hAnsi="宋体" w:cs="Times New Roman"/>
          <w:sz w:val="28"/>
          <w:szCs w:val="28"/>
          <w:highlight w:val="none"/>
        </w:rPr>
        <w:t>通知书</w:t>
      </w:r>
    </w:p>
    <w:p w14:paraId="25BD0E0E">
      <w:pPr>
        <w:spacing w:line="600" w:lineRule="exact"/>
        <w:ind w:firstLine="560" w:firstLineChars="200"/>
        <w:rPr>
          <w:rFonts w:hint="eastAsia" w:ascii="宋体" w:hAnsi="宋体" w:cs="Times New Roman"/>
          <w:sz w:val="28"/>
          <w:szCs w:val="28"/>
          <w:highlight w:val="none"/>
        </w:rPr>
      </w:pPr>
      <w:r>
        <w:rPr>
          <w:rFonts w:ascii="宋体" w:hAnsi="宋体" w:cs="Times New Roman"/>
          <w:sz w:val="28"/>
          <w:szCs w:val="28"/>
          <w:highlight w:val="none"/>
        </w:rPr>
        <w:t>20.3</w:t>
      </w:r>
      <w:r>
        <w:rPr>
          <w:rFonts w:hint="eastAsia" w:ascii="宋体" w:hAnsi="宋体" w:cs="Times New Roman"/>
          <w:sz w:val="28"/>
          <w:szCs w:val="28"/>
          <w:highlight w:val="none"/>
        </w:rPr>
        <w:t>招标控制价清单</w:t>
      </w:r>
    </w:p>
    <w:p w14:paraId="1271F50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20.4</w:t>
      </w:r>
      <w:r>
        <w:rPr>
          <w:rFonts w:hint="eastAsia" w:ascii="宋体" w:hAnsi="宋体" w:cs="Times New Roman"/>
          <w:sz w:val="28"/>
          <w:szCs w:val="28"/>
          <w:highlight w:val="none"/>
        </w:rPr>
        <w:t>比选申请文件</w:t>
      </w:r>
      <w:r>
        <w:rPr>
          <w:rFonts w:ascii="宋体" w:hAnsi="宋体" w:cs="Times New Roman"/>
          <w:sz w:val="28"/>
          <w:szCs w:val="28"/>
          <w:highlight w:val="none"/>
        </w:rPr>
        <w:t>及其附件</w:t>
      </w:r>
    </w:p>
    <w:p w14:paraId="447B5EF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20.</w:t>
      </w:r>
      <w:r>
        <w:rPr>
          <w:rFonts w:hint="eastAsia" w:ascii="宋体" w:hAnsi="宋体" w:cs="Times New Roman"/>
          <w:sz w:val="28"/>
          <w:szCs w:val="28"/>
          <w:highlight w:val="none"/>
        </w:rPr>
        <w:t>5</w:t>
      </w:r>
      <w:r>
        <w:rPr>
          <w:rFonts w:ascii="宋体" w:hAnsi="宋体" w:cs="Times New Roman"/>
          <w:sz w:val="28"/>
          <w:szCs w:val="28"/>
          <w:highlight w:val="none"/>
        </w:rPr>
        <w:t>图纸</w:t>
      </w:r>
    </w:p>
    <w:p w14:paraId="127F63B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20.</w:t>
      </w:r>
      <w:r>
        <w:rPr>
          <w:rFonts w:hint="eastAsia" w:ascii="宋体" w:hAnsi="宋体" w:cs="Times New Roman"/>
          <w:sz w:val="28"/>
          <w:szCs w:val="28"/>
          <w:highlight w:val="none"/>
        </w:rPr>
        <w:t>6</w:t>
      </w:r>
      <w:r>
        <w:rPr>
          <w:rFonts w:ascii="宋体" w:hAnsi="宋体" w:cs="Times New Roman"/>
          <w:sz w:val="28"/>
          <w:szCs w:val="28"/>
          <w:highlight w:val="none"/>
        </w:rPr>
        <w:t>标准规范及有关技术文件</w:t>
      </w:r>
    </w:p>
    <w:p w14:paraId="01AF426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20.</w:t>
      </w:r>
      <w:r>
        <w:rPr>
          <w:rFonts w:hint="eastAsia" w:ascii="宋体" w:hAnsi="宋体" w:cs="Times New Roman"/>
          <w:sz w:val="28"/>
          <w:szCs w:val="28"/>
          <w:highlight w:val="none"/>
        </w:rPr>
        <w:t>7</w:t>
      </w:r>
      <w:r>
        <w:rPr>
          <w:rFonts w:ascii="宋体" w:hAnsi="宋体" w:cs="Times New Roman"/>
          <w:sz w:val="28"/>
          <w:szCs w:val="28"/>
          <w:highlight w:val="none"/>
        </w:rPr>
        <w:t>甲乙双方有关工程的洽商、变更等书面协议或文件</w:t>
      </w:r>
    </w:p>
    <w:p w14:paraId="7C8C63C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20.</w:t>
      </w:r>
      <w:r>
        <w:rPr>
          <w:rFonts w:hint="eastAsia" w:ascii="宋体" w:hAnsi="宋体" w:cs="Times New Roman"/>
          <w:sz w:val="28"/>
          <w:szCs w:val="28"/>
          <w:highlight w:val="none"/>
        </w:rPr>
        <w:t>8</w:t>
      </w:r>
      <w:r>
        <w:rPr>
          <w:rFonts w:ascii="宋体" w:hAnsi="宋体" w:cs="Times New Roman"/>
          <w:sz w:val="28"/>
          <w:szCs w:val="28"/>
          <w:highlight w:val="none"/>
        </w:rPr>
        <w:t>其他现场签认单</w:t>
      </w:r>
    </w:p>
    <w:p w14:paraId="09094AE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20.</w:t>
      </w:r>
      <w:r>
        <w:rPr>
          <w:rFonts w:hint="eastAsia" w:ascii="宋体" w:hAnsi="宋体" w:cs="Times New Roman"/>
          <w:sz w:val="28"/>
          <w:szCs w:val="28"/>
          <w:highlight w:val="none"/>
        </w:rPr>
        <w:t>6</w:t>
      </w:r>
      <w:r>
        <w:rPr>
          <w:rFonts w:ascii="宋体" w:hAnsi="宋体" w:cs="Times New Roman"/>
          <w:sz w:val="28"/>
          <w:szCs w:val="28"/>
          <w:highlight w:val="none"/>
        </w:rPr>
        <w:t>.1 图纸与技术标准和要求之间有矛盾或者不一致的，以其中要求较严格的标准为准。</w:t>
      </w:r>
    </w:p>
    <w:p w14:paraId="4E62945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20.7.</w:t>
      </w:r>
      <w:r>
        <w:rPr>
          <w:rFonts w:hint="eastAsia" w:ascii="宋体" w:hAnsi="宋体" w:cs="Times New Roman"/>
          <w:sz w:val="28"/>
          <w:szCs w:val="28"/>
          <w:highlight w:val="none"/>
        </w:rPr>
        <w:t>1</w:t>
      </w:r>
      <w:r>
        <w:rPr>
          <w:rFonts w:ascii="宋体" w:hAnsi="宋体" w:cs="Times New Roman"/>
          <w:sz w:val="28"/>
          <w:szCs w:val="28"/>
          <w:highlight w:val="none"/>
        </w:rPr>
        <w:t xml:space="preserve"> 合同双方在合同履行过程中签订的补充协议亦构成合同文件的组成部分，其解释顺序视其内容与其他合同文件的相互关系而定。</w:t>
      </w:r>
    </w:p>
    <w:p w14:paraId="38F6187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21．本合同的生效、变更、解除和终止</w:t>
      </w:r>
    </w:p>
    <w:p w14:paraId="7973FF5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21.1本合同经甲乙双方法定代表人或委托代理人签字并加盖合同专用章后生效。</w:t>
      </w:r>
    </w:p>
    <w:p w14:paraId="250A7B3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21.2本合同经甲乙双方协商一致，可以变更，合同变更协议应采用书面形式。</w:t>
      </w:r>
    </w:p>
    <w:p w14:paraId="715923A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21.3合同解除</w:t>
      </w:r>
    </w:p>
    <w:p w14:paraId="510C818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21.3.1合同解除的因素：</w:t>
      </w:r>
    </w:p>
    <w:p w14:paraId="62E0A6D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21.3.1.1甲乙双方协商一致；</w:t>
      </w:r>
    </w:p>
    <w:p w14:paraId="3CCF0CCD">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21.3.1.2因不可抗力致使合同无法履行；</w:t>
      </w:r>
    </w:p>
    <w:p w14:paraId="040FDE3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21.3.1.3 乙方违反本合同约定，甲方有权解除合同；  </w:t>
      </w:r>
    </w:p>
    <w:p w14:paraId="39593608">
      <w:pPr>
        <w:spacing w:line="600" w:lineRule="exact"/>
        <w:ind w:firstLine="560" w:firstLineChars="200"/>
        <w:rPr>
          <w:rFonts w:ascii="宋体" w:hAnsi="宋体" w:cs="Times New Roman"/>
          <w:sz w:val="28"/>
          <w:szCs w:val="28"/>
          <w:highlight w:val="none"/>
        </w:rPr>
      </w:pPr>
      <w:r>
        <w:rPr>
          <w:rFonts w:hint="eastAsia" w:ascii="宋体" w:hAnsi="宋体" w:cs="Times New Roman"/>
          <w:sz w:val="28"/>
          <w:szCs w:val="28"/>
          <w:highlight w:val="none"/>
          <w:lang w:val="en-US" w:eastAsia="zh-CN"/>
        </w:rPr>
        <w:t>21.3.1.4法律法规规定或本合同约定的其他情形。</w:t>
      </w:r>
      <w:r>
        <w:rPr>
          <w:rFonts w:ascii="宋体" w:hAnsi="宋体" w:cs="Times New Roman"/>
          <w:sz w:val="28"/>
          <w:szCs w:val="28"/>
          <w:highlight w:val="none"/>
        </w:rPr>
        <w:t xml:space="preserve">                                           </w:t>
      </w:r>
    </w:p>
    <w:p w14:paraId="0688473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21.3.2合同解除的处理</w:t>
      </w:r>
    </w:p>
    <w:p w14:paraId="35C6B24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21.3.2.1一方要求解除合同的，应在7日前以书面形式向对方发出解除通知，通知到达对方时合同解除。对解除合同有争议的，按19条约定处理。</w:t>
      </w:r>
    </w:p>
    <w:p w14:paraId="3AE83CD5">
      <w:pPr>
        <w:spacing w:line="600" w:lineRule="exact"/>
        <w:ind w:firstLine="560" w:firstLineChars="200"/>
        <w:rPr>
          <w:rFonts w:hint="eastAsia" w:ascii="宋体" w:hAnsi="宋体" w:cs="Times New Roman"/>
          <w:sz w:val="28"/>
          <w:szCs w:val="28"/>
          <w:highlight w:val="none"/>
        </w:rPr>
      </w:pPr>
      <w:r>
        <w:rPr>
          <w:rFonts w:ascii="宋体" w:hAnsi="宋体" w:cs="Times New Roman"/>
          <w:sz w:val="28"/>
          <w:szCs w:val="28"/>
          <w:highlight w:val="none"/>
        </w:rPr>
        <w:t>21.3.2.2合同解除后的善后工作，双方另行约定</w:t>
      </w:r>
      <w:r>
        <w:rPr>
          <w:rFonts w:hint="eastAsia" w:ascii="宋体" w:hAnsi="宋体" w:cs="Times New Roman"/>
          <w:sz w:val="28"/>
          <w:szCs w:val="28"/>
          <w:highlight w:val="none"/>
        </w:rPr>
        <w:t>。</w:t>
      </w:r>
    </w:p>
    <w:p w14:paraId="1E80C8F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21.4合同终止</w:t>
      </w:r>
    </w:p>
    <w:p w14:paraId="6FC8C54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21.4.1合同终止的因素：</w:t>
      </w:r>
    </w:p>
    <w:p w14:paraId="202CC20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21.4.1.1甲乙双方履行全部合同义务；</w:t>
      </w:r>
    </w:p>
    <w:p w14:paraId="2704EFB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21.4.1.2合同解除；</w:t>
      </w:r>
    </w:p>
    <w:p w14:paraId="0FA0025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21.4.1.3其他；                                                        </w:t>
      </w:r>
    </w:p>
    <w:p w14:paraId="6C50386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 其它约定</w:t>
      </w:r>
    </w:p>
    <w:p w14:paraId="716639C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22.1 不可抗力</w:t>
      </w:r>
    </w:p>
    <w:p w14:paraId="1BC7501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22.1.1不可抗力包括因战争、动乱、空中飞行物体坠落或其他非甲方乙方责任造成的爆炸、火灾。</w:t>
      </w:r>
    </w:p>
    <w:p w14:paraId="7DDD861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22.1.2不可抗力事件发生后，乙方应立即通知甲方工程师，并在力所能及的条件下迅速采取措施，尽力减少损失，甲方应协助乙方采取措施。工程师认为应当暂停施工的，乙方应暂停施工。不可抗力事件结束后48小时内乙方向甲方书面通报受害情况和损失情况，及预计清理和修复的费用。不可抗力事件持续发生，乙方应每隔7天向甲方报告一次受害情况。不可抗力事件结束后7天内，乙方向甲方提交清理和修复费用的正式</w:t>
      </w:r>
      <w:r>
        <w:rPr>
          <w:rFonts w:hint="eastAsia" w:ascii="宋体" w:hAnsi="宋体" w:cs="Times New Roman"/>
          <w:sz w:val="28"/>
          <w:szCs w:val="28"/>
          <w:highlight w:val="none"/>
        </w:rPr>
        <w:t>申请</w:t>
      </w:r>
      <w:r>
        <w:rPr>
          <w:rFonts w:ascii="宋体" w:hAnsi="宋体" w:cs="Times New Roman"/>
          <w:sz w:val="28"/>
          <w:szCs w:val="28"/>
          <w:highlight w:val="none"/>
        </w:rPr>
        <w:t>及有关</w:t>
      </w:r>
      <w:r>
        <w:rPr>
          <w:rFonts w:hint="eastAsia" w:ascii="宋体" w:hAnsi="宋体" w:cs="Times New Roman"/>
          <w:sz w:val="28"/>
          <w:szCs w:val="28"/>
          <w:highlight w:val="none"/>
        </w:rPr>
        <w:t>佐证</w:t>
      </w:r>
      <w:r>
        <w:rPr>
          <w:rFonts w:ascii="宋体" w:hAnsi="宋体" w:cs="Times New Roman"/>
          <w:sz w:val="28"/>
          <w:szCs w:val="28"/>
          <w:highlight w:val="none"/>
        </w:rPr>
        <w:t>资料。</w:t>
      </w:r>
    </w:p>
    <w:p w14:paraId="1610FDA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22.1.3因不可抗力事件导致的费用及延误的工期由双方按以下方法分别承担：</w:t>
      </w:r>
    </w:p>
    <w:p w14:paraId="2859991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（l） 工程本身的损害、因工程损害导致第三</w:t>
      </w:r>
      <w:r>
        <w:rPr>
          <w:rFonts w:hint="eastAsia" w:ascii="宋体" w:hAnsi="宋体" w:cs="Times New Roman"/>
          <w:sz w:val="28"/>
          <w:szCs w:val="28"/>
          <w:highlight w:val="none"/>
          <w:lang w:val="en-US" w:eastAsia="zh-CN"/>
        </w:rPr>
        <w:t>方</w:t>
      </w:r>
      <w:r>
        <w:rPr>
          <w:rFonts w:ascii="宋体" w:hAnsi="宋体" w:cs="Times New Roman"/>
          <w:sz w:val="28"/>
          <w:szCs w:val="28"/>
          <w:highlight w:val="none"/>
        </w:rPr>
        <w:t>人员伤亡和财产损失以及运至施工场地用于施工的材料和待安装的设备的损害，由乙方承担；</w:t>
      </w:r>
    </w:p>
    <w:p w14:paraId="7931193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甲方、乙方人员伤亡由其所在单位负责，并承担相应费用；</w:t>
      </w:r>
    </w:p>
    <w:p w14:paraId="6B72A6A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乙方机械设备损坏及停工损失，由乙方承担；</w:t>
      </w:r>
    </w:p>
    <w:p w14:paraId="67803AB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（4） 停工期间，乙方应甲方要求留在施工场地的必要的管理人员及保卫人员的费用由甲方承担；</w:t>
      </w:r>
    </w:p>
    <w:p w14:paraId="469FBA2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（5） 工程所需清理、修复费用，由乙方承担；</w:t>
      </w:r>
    </w:p>
    <w:p w14:paraId="4552A1D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（6） 延误的工期相应顺延。</w:t>
      </w:r>
    </w:p>
    <w:p w14:paraId="6E4D4EA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22.1.4 因合同一方迟延履行合同后发生不可抗力的，不能免除迟延履行方的相应责任。</w:t>
      </w:r>
    </w:p>
    <w:p w14:paraId="3C13461A">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22.1.5 进度完成奖励</w:t>
      </w:r>
    </w:p>
    <w:p w14:paraId="6B90AA38">
      <w:pPr>
        <w:spacing w:line="600" w:lineRule="exact"/>
        <w:ind w:firstLine="560" w:firstLineChars="200"/>
        <w:rPr>
          <w:rFonts w:hint="eastAsia" w:ascii="宋体" w:hAnsi="宋体" w:cs="Times New Roman"/>
          <w:sz w:val="28"/>
          <w:szCs w:val="28"/>
          <w:highlight w:val="none"/>
        </w:rPr>
      </w:pPr>
      <w:r>
        <w:rPr>
          <w:rFonts w:hint="eastAsia" w:ascii="宋体" w:hAnsi="宋体" w:cs="Times New Roman"/>
          <w:sz w:val="28"/>
          <w:szCs w:val="28"/>
          <w:highlight w:val="none"/>
        </w:rPr>
        <w:t>按照合同约定的时间节点，乙方在施工过程中应严格遵守质量标准、安全规范，确保充电站项目的顺利进行，在规定工期内提前完成充电站项目建设，将获得进度奖励。奖励金额根据施工进度完成情况，进度提前10天内（包含10天），甲方将按每提前一天向乙方奖励2000元；进度提前超过10天</w:t>
      </w:r>
      <w:r>
        <w:rPr>
          <w:rFonts w:hint="eastAsia" w:ascii="宋体" w:hAnsi="宋体" w:cs="Times New Roman"/>
          <w:sz w:val="28"/>
          <w:szCs w:val="28"/>
          <w:highlight w:val="none"/>
          <w:lang w:val="en-US" w:eastAsia="zh-CN"/>
        </w:rPr>
        <w:t>的</w:t>
      </w:r>
      <w:r>
        <w:rPr>
          <w:rFonts w:hint="eastAsia" w:ascii="宋体" w:hAnsi="宋体" w:cs="Times New Roman"/>
          <w:sz w:val="28"/>
          <w:szCs w:val="28"/>
          <w:highlight w:val="none"/>
        </w:rPr>
        <w:t>，</w:t>
      </w:r>
      <w:r>
        <w:rPr>
          <w:rFonts w:hint="eastAsia" w:ascii="宋体" w:hAnsi="宋体" w:cs="Times New Roman"/>
          <w:sz w:val="28"/>
          <w:szCs w:val="28"/>
          <w:highlight w:val="none"/>
          <w:lang w:val="en-US" w:eastAsia="zh-CN"/>
        </w:rPr>
        <w:t>超过部分</w:t>
      </w:r>
      <w:r>
        <w:rPr>
          <w:rFonts w:hint="eastAsia" w:ascii="宋体" w:hAnsi="宋体" w:cs="Times New Roman"/>
          <w:sz w:val="28"/>
          <w:szCs w:val="28"/>
          <w:highlight w:val="none"/>
        </w:rPr>
        <w:t>甲方将按每提前一天向乙方奖励4000元，奖励条例最终解释权归甲方主管部门和监督部门所有。</w:t>
      </w:r>
    </w:p>
    <w:p w14:paraId="08272BB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22.2 工程保险</w:t>
      </w:r>
    </w:p>
    <w:p w14:paraId="7C8B5CE5">
      <w:pPr>
        <w:spacing w:line="600" w:lineRule="exact"/>
        <w:ind w:left="559" w:leftChars="266"/>
        <w:rPr>
          <w:rFonts w:ascii="宋体" w:hAnsi="宋体" w:cs="Times New Roman"/>
          <w:sz w:val="28"/>
          <w:szCs w:val="28"/>
          <w:highlight w:val="none"/>
        </w:rPr>
      </w:pPr>
      <w:r>
        <w:rPr>
          <w:rFonts w:ascii="宋体" w:hAnsi="宋体" w:cs="Times New Roman"/>
          <w:sz w:val="28"/>
          <w:szCs w:val="28"/>
          <w:highlight w:val="none"/>
        </w:rPr>
        <w:t>22.2.1</w:t>
      </w:r>
      <w:r>
        <w:rPr>
          <w:rFonts w:hint="eastAsia" w:ascii="宋体" w:hAnsi="宋体" w:cs="Times New Roman"/>
          <w:sz w:val="28"/>
          <w:szCs w:val="28"/>
          <w:highlight w:val="none"/>
        </w:rPr>
        <w:t xml:space="preserve">  乙方应按本合同约定购买保险，并承担项目保险费用。</w:t>
      </w:r>
      <w:r>
        <w:rPr>
          <w:rFonts w:ascii="宋体" w:hAnsi="宋体" w:cs="Times New Roman"/>
          <w:sz w:val="28"/>
          <w:szCs w:val="28"/>
          <w:highlight w:val="none"/>
        </w:rPr>
        <w:t>22.2.2  保险凭证和条件</w:t>
      </w:r>
    </w:p>
    <w:p w14:paraId="7BC02B3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乙方应在接到开工通知后的14天内向甲方提交按合同规定的各项保险单的副本，并通知甲方。保险单的条件应符合本合同的规定。</w:t>
      </w:r>
    </w:p>
    <w:p w14:paraId="38CEFA5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22.2.3 </w:t>
      </w:r>
      <w:r>
        <w:rPr>
          <w:rFonts w:hint="eastAsia" w:ascii="宋体" w:hAnsi="宋体" w:cs="Times New Roman"/>
          <w:sz w:val="28"/>
          <w:szCs w:val="28"/>
          <w:highlight w:val="none"/>
        </w:rPr>
        <w:t xml:space="preserve"> </w:t>
      </w:r>
      <w:r>
        <w:rPr>
          <w:rFonts w:ascii="宋体" w:hAnsi="宋体" w:cs="Times New Roman"/>
          <w:sz w:val="28"/>
          <w:szCs w:val="28"/>
          <w:highlight w:val="none"/>
        </w:rPr>
        <w:t>保险单条件的变动</w:t>
      </w:r>
    </w:p>
    <w:p w14:paraId="15BC9B7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乙方需要变动保险单的条件时，应事先征得甲方书面同意。</w:t>
      </w:r>
    </w:p>
    <w:p w14:paraId="198EE1D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22.2.</w:t>
      </w:r>
      <w:r>
        <w:rPr>
          <w:rFonts w:hint="eastAsia" w:ascii="宋体" w:hAnsi="宋体" w:cs="Times New Roman"/>
          <w:sz w:val="28"/>
          <w:szCs w:val="28"/>
          <w:highlight w:val="none"/>
        </w:rPr>
        <w:t>4</w:t>
      </w:r>
      <w:r>
        <w:rPr>
          <w:rFonts w:ascii="宋体" w:hAnsi="宋体" w:cs="Times New Roman"/>
          <w:sz w:val="28"/>
          <w:szCs w:val="28"/>
          <w:highlight w:val="none"/>
        </w:rPr>
        <w:t xml:space="preserve">  遵守保险单规定的条件</w:t>
      </w:r>
    </w:p>
    <w:p w14:paraId="0CDF4FE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甲方和乙方均应遵守保险单规定的条件，任何一方违反保险单规定的条件时，应赔偿另一方由此</w:t>
      </w:r>
      <w:r>
        <w:rPr>
          <w:rFonts w:hint="eastAsia" w:ascii="宋体" w:hAnsi="宋体" w:cs="Times New Roman"/>
          <w:sz w:val="28"/>
          <w:szCs w:val="28"/>
          <w:highlight w:val="none"/>
        </w:rPr>
        <w:t>产生</w:t>
      </w:r>
      <w:r>
        <w:rPr>
          <w:rFonts w:ascii="宋体" w:hAnsi="宋体" w:cs="Times New Roman"/>
          <w:sz w:val="28"/>
          <w:szCs w:val="28"/>
          <w:highlight w:val="none"/>
        </w:rPr>
        <w:t>的损失。</w:t>
      </w:r>
    </w:p>
    <w:p w14:paraId="1892645A">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22.3 工程风险</w:t>
      </w:r>
    </w:p>
    <w:p w14:paraId="4D527AD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22.3.1 甲方的风险</w:t>
      </w:r>
    </w:p>
    <w:p w14:paraId="45E214B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工程（包括材料和工程设备）发生以下各种风险造成的损失和损坏，均应由甲方承担风险责任。</w:t>
      </w:r>
    </w:p>
    <w:p w14:paraId="15B6F55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甲方负责的工程设计不当造成的损失和损坏。</w:t>
      </w:r>
    </w:p>
    <w:p w14:paraId="57A061D5">
      <w:pPr>
        <w:spacing w:line="600" w:lineRule="exact"/>
        <w:ind w:firstLine="560" w:firstLineChars="200"/>
        <w:rPr>
          <w:rFonts w:hint="eastAsia" w:ascii="宋体" w:hAnsi="宋体" w:cs="Times New Roman"/>
          <w:sz w:val="28"/>
          <w:szCs w:val="28"/>
          <w:highlight w:val="none"/>
        </w:rPr>
      </w:pPr>
      <w:r>
        <w:rPr>
          <w:rFonts w:ascii="宋体" w:hAnsi="宋体" w:cs="Times New Roman"/>
          <w:sz w:val="28"/>
          <w:szCs w:val="28"/>
          <w:highlight w:val="none"/>
        </w:rPr>
        <w:t>(2) 由于甲方责任造成工程设备的损失和损坏。</w:t>
      </w:r>
    </w:p>
    <w:p w14:paraId="6C6AC6D0">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22.3.2 乙方的风险</w:t>
      </w:r>
    </w:p>
    <w:p w14:paraId="742D1246">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工程（包括材料和工程设备）发生以下各种风险造成的损失和损坏，均应由乙方承担风险责任。</w:t>
      </w:r>
    </w:p>
    <w:p w14:paraId="2398A62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(1)  由于乙方对工程（包括材料和工程设备）照管不周造成的损失和损坏。</w:t>
      </w:r>
    </w:p>
    <w:p w14:paraId="13FE8AF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  由于乙方的施工组织措施失误造成的损失和损坏。</w:t>
      </w:r>
    </w:p>
    <w:p w14:paraId="2E4218F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(3)  其他由于乙方原因造成的损失和损坏。</w:t>
      </w:r>
    </w:p>
    <w:p w14:paraId="4135BEFE">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22.3.</w:t>
      </w:r>
      <w:r>
        <w:rPr>
          <w:rFonts w:hint="eastAsia" w:ascii="宋体" w:hAnsi="宋体" w:cs="Times New Roman"/>
          <w:sz w:val="28"/>
          <w:szCs w:val="28"/>
          <w:highlight w:val="none"/>
          <w:lang w:val="en-US" w:eastAsia="zh-CN"/>
        </w:rPr>
        <w:t>3</w:t>
      </w:r>
      <w:r>
        <w:rPr>
          <w:rFonts w:ascii="宋体" w:hAnsi="宋体" w:cs="Times New Roman"/>
          <w:sz w:val="28"/>
          <w:szCs w:val="28"/>
          <w:highlight w:val="none"/>
        </w:rPr>
        <w:t xml:space="preserve"> 不可抗力解除合同</w:t>
      </w:r>
    </w:p>
    <w:p w14:paraId="1D1AB63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合同签订后发生第 22.1款的风险造成工程的巨大损失和严重损坏，使双方或任何一方无法继续履行合同时，经双方协商后可解除合同、解除合同后的付款由双方协商处理。</w:t>
      </w:r>
    </w:p>
    <w:p w14:paraId="3C84F24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22.4纳税</w:t>
      </w:r>
    </w:p>
    <w:p w14:paraId="4231D68F">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乙方应按有关</w:t>
      </w:r>
      <w:r>
        <w:rPr>
          <w:rFonts w:hint="eastAsia" w:ascii="宋体" w:hAnsi="宋体" w:cs="Times New Roman"/>
          <w:sz w:val="28"/>
          <w:szCs w:val="28"/>
          <w:highlight w:val="none"/>
        </w:rPr>
        <w:t>法律法规</w:t>
      </w:r>
      <w:r>
        <w:rPr>
          <w:rFonts w:ascii="宋体" w:hAnsi="宋体" w:cs="Times New Roman"/>
          <w:sz w:val="28"/>
          <w:szCs w:val="28"/>
          <w:highlight w:val="none"/>
        </w:rPr>
        <w:t>的规定纳税。除合同另有规定外，乙方应纳的税金包括在合同价格中。</w:t>
      </w:r>
    </w:p>
    <w:p w14:paraId="352BF9A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22.5 严禁贿赂    </w:t>
      </w:r>
    </w:p>
    <w:p w14:paraId="09D32885">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严禁对本合同有关的单位和人员进行贿赂和使用不正当竞争手段谋取非法利益。若发现任何上述行为，甲方和乙方均应进行追查和处理，构成犯罪的提交司法部门处理。</w:t>
      </w:r>
    </w:p>
    <w:p w14:paraId="7F5BD0D3">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22.6 化石和文物</w:t>
      </w:r>
    </w:p>
    <w:p w14:paraId="24A992D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在施工场地发掘的所有化石、钱币、有价值的物品或文物、古建筑结构以及有地质或考古价值的其他遗物等均为国家财产。乙方应按国家文物管理的有关规定采取合理的保护措施，防止任何人员移动或损坏上述物品。一旦发现上述物品，应立即把发现的情况通知甲方，并按甲方的指示做好保护工作。由于采取保护措施而增加的费用和工期延误，应按第5.2.1.1款的规定办理。</w:t>
      </w:r>
    </w:p>
    <w:p w14:paraId="4C7F4814">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22.7 转让</w:t>
      </w:r>
    </w:p>
    <w:p w14:paraId="3287239C">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乙方不得将其承包的全部或部分工程转包给第三人。未经甲方同意，乙方不得转移合同中的全部或部分义务，也不得转让合同中的全部或部分权利，下述情况除外：</w:t>
      </w:r>
    </w:p>
    <w:p w14:paraId="35A63A27">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 xml:space="preserve"> (1) 在保险人已清偿了乙方的损失或免除了乙方的责任的情况下，乙方将其从任何其他责任方处获得补偿的权利转让给乙方的保险人。</w:t>
      </w:r>
    </w:p>
    <w:p w14:paraId="43BDAD6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22.8本合同</w:t>
      </w:r>
      <w:r>
        <w:rPr>
          <w:rFonts w:hint="default" w:ascii="宋体" w:hAnsi="宋体" w:eastAsia="宋体" w:cs="Times New Roman"/>
          <w:kern w:val="2"/>
          <w:sz w:val="28"/>
          <w:szCs w:val="28"/>
          <w:highlight w:val="none"/>
          <w:lang w:val="en-US" w:eastAsia="zh-CN" w:bidi="ar-SA"/>
        </w:rPr>
        <w:t>一式</w:t>
      </w:r>
      <w:r>
        <w:rPr>
          <w:rFonts w:hint="eastAsia" w:ascii="宋体" w:hAnsi="宋体" w:cs="Times New Roman"/>
          <w:kern w:val="2"/>
          <w:sz w:val="28"/>
          <w:szCs w:val="28"/>
          <w:highlight w:val="none"/>
          <w:lang w:val="en-US" w:eastAsia="zh-CN" w:bidi="ar-SA"/>
        </w:rPr>
        <w:t>捌</w:t>
      </w:r>
      <w:r>
        <w:rPr>
          <w:rFonts w:hint="default" w:ascii="宋体" w:hAnsi="宋体" w:eastAsia="宋体" w:cs="Times New Roman"/>
          <w:kern w:val="2"/>
          <w:sz w:val="28"/>
          <w:szCs w:val="28"/>
          <w:highlight w:val="none"/>
          <w:lang w:val="en-US" w:eastAsia="zh-CN" w:bidi="ar-SA"/>
        </w:rPr>
        <w:t>份，由甲方执肆份，乙方执肆份</w:t>
      </w:r>
      <w:r>
        <w:rPr>
          <w:rFonts w:ascii="宋体" w:hAnsi="宋体" w:cs="Times New Roman"/>
          <w:sz w:val="28"/>
          <w:szCs w:val="28"/>
          <w:highlight w:val="none"/>
        </w:rPr>
        <w:t>，具有同等法律效力。</w:t>
      </w:r>
    </w:p>
    <w:p w14:paraId="7196F069">
      <w:pPr>
        <w:spacing w:line="600" w:lineRule="exact"/>
        <w:ind w:firstLine="560" w:firstLineChars="200"/>
        <w:rPr>
          <w:highlight w:val="none"/>
        </w:rPr>
      </w:pPr>
      <w:r>
        <w:rPr>
          <w:rFonts w:ascii="宋体" w:hAnsi="宋体" w:cs="Times New Roman"/>
          <w:sz w:val="28"/>
          <w:szCs w:val="28"/>
          <w:highlight w:val="none"/>
        </w:rPr>
        <w:t>22.9</w:t>
      </w:r>
      <w:r>
        <w:rPr>
          <w:rFonts w:hint="eastAsia" w:ascii="宋体" w:hAnsi="宋体" w:cs="Times New Roman"/>
          <w:sz w:val="28"/>
          <w:szCs w:val="28"/>
          <w:highlight w:val="none"/>
        </w:rPr>
        <w:t>未尽事宜</w:t>
      </w:r>
      <w:r>
        <w:rPr>
          <w:rFonts w:ascii="宋体" w:hAnsi="宋体" w:cs="Times New Roman"/>
          <w:sz w:val="28"/>
          <w:szCs w:val="28"/>
          <w:highlight w:val="none"/>
        </w:rPr>
        <w:t>双方协商以书面形式签订补充协议</w:t>
      </w:r>
      <w:r>
        <w:rPr>
          <w:rFonts w:hint="eastAsia" w:ascii="宋体" w:hAnsi="宋体" w:cs="Times New Roman"/>
          <w:sz w:val="28"/>
          <w:szCs w:val="28"/>
          <w:highlight w:val="none"/>
        </w:rPr>
        <w:t>，补充协议与本合同具有同等法律效力。</w:t>
      </w:r>
    </w:p>
    <w:p w14:paraId="2771B5B9">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附件：</w:t>
      </w:r>
    </w:p>
    <w:p w14:paraId="47302E3B">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附件1工程质量保修协议书</w:t>
      </w:r>
    </w:p>
    <w:p w14:paraId="191791A8">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附件2工程安全文明环保施工合同</w:t>
      </w:r>
    </w:p>
    <w:p w14:paraId="57F1D572">
      <w:pPr>
        <w:spacing w:line="600" w:lineRule="exact"/>
        <w:ind w:firstLine="560" w:firstLineChars="200"/>
        <w:rPr>
          <w:rFonts w:ascii="宋体" w:hAnsi="宋体" w:cs="Times New Roman"/>
          <w:sz w:val="28"/>
          <w:szCs w:val="28"/>
          <w:highlight w:val="none"/>
        </w:rPr>
      </w:pPr>
      <w:r>
        <w:rPr>
          <w:rFonts w:ascii="宋体" w:hAnsi="宋体" w:cs="Times New Roman"/>
          <w:sz w:val="28"/>
          <w:szCs w:val="28"/>
          <w:highlight w:val="none"/>
        </w:rPr>
        <w:t>附件3 廉政合同</w:t>
      </w:r>
    </w:p>
    <w:p w14:paraId="06DC780A">
      <w:pPr>
        <w:spacing w:line="600" w:lineRule="exact"/>
        <w:ind w:firstLine="560" w:firstLineChars="200"/>
        <w:rPr>
          <w:rFonts w:hint="eastAsia"/>
          <w:highlight w:val="none"/>
        </w:rPr>
      </w:pPr>
      <w:r>
        <w:rPr>
          <w:rFonts w:ascii="宋体" w:hAnsi="宋体" w:cs="Times New Roman"/>
          <w:sz w:val="28"/>
          <w:szCs w:val="28"/>
          <w:highlight w:val="none"/>
        </w:rPr>
        <w:t>附件4 履约保证金格式（如采用银行保函）</w:t>
      </w:r>
    </w:p>
    <w:tbl>
      <w:tblPr>
        <w:tblStyle w:val="16"/>
        <w:tblpPr w:leftFromText="180" w:rightFromText="180" w:vertAnchor="text" w:horzAnchor="page" w:tblpX="1780" w:tblpY="588"/>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28"/>
        <w:gridCol w:w="4428"/>
      </w:tblGrid>
      <w:tr w14:paraId="707FE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2" w:hRule="atLeast"/>
        </w:trPr>
        <w:tc>
          <w:tcPr>
            <w:tcW w:w="2500" w:type="pct"/>
            <w:noWrap w:val="0"/>
            <w:vAlign w:val="top"/>
          </w:tcPr>
          <w:p w14:paraId="075B6033">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lang w:val="en-US" w:eastAsia="zh-CN"/>
              </w:rPr>
              <w:t>甲方（盖章）</w:t>
            </w:r>
            <w:r>
              <w:rPr>
                <w:rFonts w:hint="eastAsia" w:ascii="仿宋" w:hAnsi="仿宋" w:eastAsia="仿宋" w:cs="仿宋"/>
                <w:color w:val="auto"/>
                <w:sz w:val="28"/>
                <w:szCs w:val="28"/>
                <w:highlight w:val="none"/>
              </w:rPr>
              <w:t>：四川蜀道新能源科技发展有限公司</w:t>
            </w:r>
          </w:p>
        </w:tc>
        <w:tc>
          <w:tcPr>
            <w:tcW w:w="2500" w:type="pct"/>
            <w:noWrap w:val="0"/>
            <w:vAlign w:val="top"/>
          </w:tcPr>
          <w:p w14:paraId="57332784">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lang w:val="en-US" w:eastAsia="zh-CN"/>
              </w:rPr>
              <w:t>乙方（盖章）</w:t>
            </w:r>
            <w:r>
              <w:rPr>
                <w:rFonts w:hint="eastAsia" w:ascii="仿宋" w:hAnsi="仿宋" w:eastAsia="仿宋" w:cs="仿宋"/>
                <w:color w:val="auto"/>
                <w:sz w:val="28"/>
                <w:szCs w:val="28"/>
                <w:highlight w:val="none"/>
              </w:rPr>
              <w:t>：</w:t>
            </w:r>
          </w:p>
        </w:tc>
      </w:tr>
      <w:tr w14:paraId="16BC8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2500" w:type="pct"/>
            <w:noWrap w:val="0"/>
            <w:vAlign w:val="top"/>
          </w:tcPr>
          <w:p w14:paraId="69E20AE1">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rPr>
            </w:pPr>
          </w:p>
          <w:p w14:paraId="7A452EB6">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法定代表人</w:t>
            </w:r>
            <w:r>
              <w:rPr>
                <w:rFonts w:hint="eastAsia" w:ascii="仿宋" w:hAnsi="仿宋" w:eastAsia="仿宋" w:cs="仿宋"/>
                <w:color w:val="auto"/>
                <w:sz w:val="28"/>
                <w:szCs w:val="28"/>
                <w:highlight w:val="none"/>
                <w:lang w:eastAsia="zh-CN"/>
              </w:rPr>
              <w:t>：</w:t>
            </w:r>
          </w:p>
          <w:p w14:paraId="1B8EA4AE">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rPr>
            </w:pPr>
            <w:r>
              <w:rPr>
                <w:rFonts w:hint="eastAsia" w:ascii="仿宋" w:hAnsi="仿宋" w:eastAsia="仿宋" w:cs="仿宋"/>
                <w:color w:val="auto"/>
                <w:sz w:val="28"/>
                <w:szCs w:val="28"/>
                <w:highlight w:val="none"/>
                <w:lang w:val="en-US" w:eastAsia="zh-CN"/>
              </w:rPr>
              <w:t>或</w:t>
            </w:r>
            <w:r>
              <w:rPr>
                <w:rFonts w:hint="eastAsia" w:ascii="仿宋" w:hAnsi="仿宋" w:eastAsia="仿宋" w:cs="仿宋"/>
                <w:color w:val="auto"/>
                <w:sz w:val="28"/>
                <w:szCs w:val="28"/>
                <w:highlight w:val="none"/>
              </w:rPr>
              <w:t>委托代理人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签字</w:t>
            </w:r>
            <w:r>
              <w:rPr>
                <w:rFonts w:hint="eastAsia" w:ascii="仿宋" w:hAnsi="仿宋" w:eastAsia="仿宋" w:cs="仿宋"/>
                <w:color w:val="auto"/>
                <w:sz w:val="28"/>
                <w:szCs w:val="28"/>
                <w:highlight w:val="none"/>
                <w:lang w:eastAsia="zh-CN"/>
              </w:rPr>
              <w:t>）：</w:t>
            </w:r>
          </w:p>
        </w:tc>
        <w:tc>
          <w:tcPr>
            <w:tcW w:w="2500" w:type="pct"/>
            <w:noWrap w:val="0"/>
            <w:vAlign w:val="top"/>
          </w:tcPr>
          <w:p w14:paraId="5F057F91">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rPr>
            </w:pPr>
          </w:p>
          <w:p w14:paraId="4905AA8D">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法定代表人</w:t>
            </w:r>
            <w:r>
              <w:rPr>
                <w:rFonts w:hint="eastAsia" w:ascii="仿宋" w:hAnsi="仿宋" w:eastAsia="仿宋" w:cs="仿宋"/>
                <w:color w:val="auto"/>
                <w:sz w:val="28"/>
                <w:szCs w:val="28"/>
                <w:highlight w:val="none"/>
                <w:lang w:eastAsia="zh-CN"/>
              </w:rPr>
              <w:t>：</w:t>
            </w:r>
          </w:p>
          <w:p w14:paraId="11694075">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rPr>
            </w:pPr>
            <w:r>
              <w:rPr>
                <w:rFonts w:hint="eastAsia" w:ascii="仿宋" w:hAnsi="仿宋" w:eastAsia="仿宋" w:cs="仿宋"/>
                <w:color w:val="auto"/>
                <w:sz w:val="28"/>
                <w:szCs w:val="28"/>
                <w:highlight w:val="none"/>
                <w:lang w:val="en-US" w:eastAsia="zh-CN"/>
              </w:rPr>
              <w:t>或</w:t>
            </w:r>
            <w:r>
              <w:rPr>
                <w:rFonts w:hint="eastAsia" w:ascii="仿宋" w:hAnsi="仿宋" w:eastAsia="仿宋" w:cs="仿宋"/>
                <w:color w:val="auto"/>
                <w:sz w:val="28"/>
                <w:szCs w:val="28"/>
                <w:highlight w:val="none"/>
              </w:rPr>
              <w:t>委托代理人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签字</w:t>
            </w:r>
            <w:r>
              <w:rPr>
                <w:rFonts w:hint="eastAsia" w:ascii="仿宋" w:hAnsi="仿宋" w:eastAsia="仿宋" w:cs="仿宋"/>
                <w:color w:val="auto"/>
                <w:sz w:val="28"/>
                <w:szCs w:val="28"/>
                <w:highlight w:val="none"/>
                <w:lang w:eastAsia="zh-CN"/>
              </w:rPr>
              <w:t>）：</w:t>
            </w:r>
          </w:p>
        </w:tc>
      </w:tr>
      <w:tr w14:paraId="6C4F1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2500" w:type="pct"/>
            <w:noWrap w:val="0"/>
            <w:vAlign w:val="top"/>
          </w:tcPr>
          <w:p w14:paraId="5E16C583">
            <w:pPr>
              <w:keepNext w:val="0"/>
              <w:keepLines w:val="0"/>
              <w:pageBreakBefore w:val="0"/>
              <w:widowControl w:val="0"/>
              <w:kinsoku/>
              <w:wordWrap/>
              <w:overflowPunct/>
              <w:topLinePunct w:val="0"/>
              <w:autoSpaceDE/>
              <w:autoSpaceDN/>
              <w:bidi w:val="0"/>
              <w:adjustRightInd w:val="0"/>
              <w:snapToGrid w:val="0"/>
              <w:spacing w:line="360" w:lineRule="auto"/>
              <w:ind w:right="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日          </w:t>
            </w:r>
          </w:p>
          <w:p w14:paraId="1F15C961">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lang w:val="en-US" w:eastAsia="zh-CN"/>
              </w:rPr>
            </w:pPr>
          </w:p>
        </w:tc>
        <w:tc>
          <w:tcPr>
            <w:tcW w:w="2500" w:type="pct"/>
            <w:noWrap w:val="0"/>
            <w:vAlign w:val="top"/>
          </w:tcPr>
          <w:p w14:paraId="4A2A7396">
            <w:pPr>
              <w:keepNext w:val="0"/>
              <w:keepLines w:val="0"/>
              <w:pageBreakBefore w:val="0"/>
              <w:widowControl w:val="0"/>
              <w:kinsoku/>
              <w:wordWrap/>
              <w:overflowPunct/>
              <w:topLinePunct w:val="0"/>
              <w:autoSpaceDE/>
              <w:autoSpaceDN/>
              <w:bidi w:val="0"/>
              <w:adjustRightInd w:val="0"/>
              <w:snapToGrid w:val="0"/>
              <w:spacing w:line="360" w:lineRule="auto"/>
              <w:ind w:right="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日          </w:t>
            </w:r>
          </w:p>
          <w:p w14:paraId="03062E99">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lang w:val="en-US" w:eastAsia="zh-CN"/>
              </w:rPr>
            </w:pPr>
          </w:p>
        </w:tc>
      </w:tr>
    </w:tbl>
    <w:p w14:paraId="5C9AE635">
      <w:pPr>
        <w:spacing w:line="600" w:lineRule="exact"/>
        <w:rPr>
          <w:rFonts w:ascii="宋体" w:hAnsi="宋体" w:cs="Times New Roman"/>
          <w:sz w:val="28"/>
          <w:szCs w:val="28"/>
          <w:highlight w:val="none"/>
        </w:rPr>
      </w:pPr>
    </w:p>
    <w:p w14:paraId="410954EC">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p>
    <w:p w14:paraId="267160BC">
      <w:pPr>
        <w:topLinePunct w:val="0"/>
        <w:autoSpaceDE/>
        <w:snapToGrid/>
        <w:spacing w:line="600" w:lineRule="exact"/>
        <w:jc w:val="left"/>
        <w:rPr>
          <w:rStyle w:val="26"/>
          <w:rFonts w:hint="eastAsia" w:ascii="宋体" w:hAnsi="宋体" w:cs="宋体"/>
          <w:b/>
          <w:color w:val="auto"/>
          <w:szCs w:val="28"/>
          <w:highlight w:val="none"/>
          <w:lang w:val="en-US" w:eastAsia="zh-CN"/>
        </w:rPr>
      </w:pPr>
      <w:r>
        <w:rPr>
          <w:rFonts w:hint="eastAsia" w:ascii="宋体" w:hAnsi="宋体" w:eastAsia="宋体" w:cs="宋体"/>
          <w:b/>
          <w:bCs/>
          <w:color w:val="auto"/>
          <w:sz w:val="28"/>
          <w:szCs w:val="28"/>
          <w:highlight w:val="none"/>
        </w:rPr>
        <w:t>附件1</w:t>
      </w:r>
    </w:p>
    <w:p w14:paraId="080A6B16">
      <w:pPr>
        <w:topLinePunct/>
        <w:autoSpaceDE w:val="0"/>
        <w:snapToGrid w:val="0"/>
        <w:spacing w:line="600" w:lineRule="exact"/>
        <w:jc w:val="center"/>
        <w:rPr>
          <w:rStyle w:val="26"/>
          <w:rFonts w:hint="eastAsia" w:ascii="宋体" w:hAnsi="宋体" w:eastAsia="仿宋_GB2312" w:cs="宋体"/>
          <w:b/>
          <w:color w:val="auto"/>
          <w:szCs w:val="28"/>
          <w:highlight w:val="none"/>
        </w:rPr>
      </w:pPr>
      <w:r>
        <w:rPr>
          <w:rStyle w:val="26"/>
          <w:rFonts w:hint="eastAsia" w:ascii="宋体" w:hAnsi="宋体" w:eastAsia="仿宋_GB2312" w:cs="宋体"/>
          <w:b/>
          <w:color w:val="auto"/>
          <w:szCs w:val="28"/>
          <w:highlight w:val="none"/>
          <w:lang w:val="en-US" w:eastAsia="zh-CN"/>
        </w:rPr>
        <w:t>工程</w:t>
      </w:r>
      <w:r>
        <w:rPr>
          <w:rStyle w:val="26"/>
          <w:rFonts w:hint="eastAsia" w:ascii="宋体" w:hAnsi="宋体" w:eastAsia="仿宋_GB2312" w:cs="宋体"/>
          <w:b/>
          <w:color w:val="auto"/>
          <w:szCs w:val="28"/>
          <w:highlight w:val="none"/>
        </w:rPr>
        <w:t>质量保修协议书</w:t>
      </w:r>
    </w:p>
    <w:p w14:paraId="4E0294E5">
      <w:pPr>
        <w:topLinePunct/>
        <w:autoSpaceDE w:val="0"/>
        <w:snapToGrid w:val="0"/>
        <w:spacing w:line="600" w:lineRule="exact"/>
        <w:rPr>
          <w:rStyle w:val="26"/>
          <w:rFonts w:hint="eastAsia" w:eastAsia="宋体" w:cs="宋体"/>
          <w:color w:val="auto"/>
          <w:szCs w:val="28"/>
          <w:highlight w:val="none"/>
        </w:rPr>
      </w:pPr>
      <w:r>
        <w:rPr>
          <w:rStyle w:val="26"/>
          <w:rFonts w:hint="eastAsia" w:eastAsia="宋体" w:cs="宋体"/>
          <w:color w:val="auto"/>
          <w:szCs w:val="28"/>
          <w:highlight w:val="none"/>
        </w:rPr>
        <w:t>甲方（全称）：</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四川蜀道新能源科技发展有限公司</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 xml:space="preserve"> </w:t>
      </w:r>
    </w:p>
    <w:p w14:paraId="0A7E95A9">
      <w:pPr>
        <w:topLinePunct/>
        <w:autoSpaceDE w:val="0"/>
        <w:snapToGrid w:val="0"/>
        <w:spacing w:line="600" w:lineRule="exact"/>
        <w:rPr>
          <w:rStyle w:val="26"/>
          <w:rFonts w:eastAsia="宋体" w:cs="宋体"/>
          <w:color w:val="auto"/>
          <w:szCs w:val="28"/>
          <w:highlight w:val="none"/>
        </w:rPr>
      </w:pPr>
      <w:r>
        <w:rPr>
          <w:rStyle w:val="26"/>
          <w:rFonts w:hint="eastAsia" w:eastAsia="宋体" w:cs="宋体"/>
          <w:color w:val="auto"/>
          <w:szCs w:val="28"/>
          <w:highlight w:val="none"/>
        </w:rPr>
        <w:t>乙方（全称）：</w:t>
      </w:r>
      <w:r>
        <w:rPr>
          <w:rFonts w:hint="eastAsia" w:ascii="宋体" w:hAnsi="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 xml:space="preserve">                 </w:t>
      </w:r>
      <w:r>
        <w:rPr>
          <w:rFonts w:hint="eastAsia" w:ascii="宋体" w:hAnsi="宋体" w:cs="宋体"/>
          <w:color w:val="auto"/>
          <w:sz w:val="28"/>
          <w:szCs w:val="28"/>
          <w:highlight w:val="none"/>
          <w:u w:val="single"/>
        </w:rPr>
        <w:t xml:space="preserve">                           </w:t>
      </w:r>
    </w:p>
    <w:p w14:paraId="79FF7D37">
      <w:pPr>
        <w:pStyle w:val="9"/>
        <w:spacing w:line="600" w:lineRule="exact"/>
        <w:ind w:left="0" w:leftChars="0"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甲乙</w:t>
      </w:r>
      <w:r>
        <w:rPr>
          <w:rFonts w:hint="eastAsia" w:cs="宋体"/>
          <w:color w:val="auto"/>
          <w:sz w:val="28"/>
          <w:szCs w:val="28"/>
          <w:highlight w:val="none"/>
          <w:lang w:val="en-US" w:eastAsia="zh-CN"/>
        </w:rPr>
        <w:t>双</w:t>
      </w:r>
      <w:r>
        <w:rPr>
          <w:rFonts w:hint="eastAsia" w:ascii="宋体" w:hAnsi="宋体" w:eastAsia="宋体" w:cs="宋体"/>
          <w:color w:val="auto"/>
          <w:sz w:val="28"/>
          <w:szCs w:val="28"/>
          <w:highlight w:val="none"/>
        </w:rPr>
        <w:t>方根据《中华人民共和国建筑法</w:t>
      </w:r>
      <w:r>
        <w:rPr>
          <w:rFonts w:hint="eastAsia" w:ascii="宋体" w:hAnsi="宋体" w:cs="宋体"/>
          <w:color w:val="auto"/>
          <w:sz w:val="28"/>
          <w:szCs w:val="28"/>
          <w:highlight w:val="none"/>
          <w:lang w:eastAsia="zh-CN"/>
        </w:rPr>
        <w:t>》《</w:t>
      </w:r>
      <w:r>
        <w:rPr>
          <w:rFonts w:hint="eastAsia" w:ascii="宋体" w:hAnsi="宋体" w:eastAsia="宋体" w:cs="宋体"/>
          <w:color w:val="auto"/>
          <w:sz w:val="28"/>
          <w:szCs w:val="28"/>
          <w:highlight w:val="none"/>
        </w:rPr>
        <w:t>建设工程质量管理条例》和《房屋建筑工程质量保修办法》，经协商一致，就</w:t>
      </w:r>
      <w:r>
        <w:rPr>
          <w:rFonts w:hint="eastAsia" w:ascii="宋体" w:hAnsi="宋体" w:cs="宋体"/>
          <w:color w:val="auto"/>
          <w:sz w:val="28"/>
          <w:szCs w:val="28"/>
          <w:highlight w:val="none"/>
          <w:u w:val="single"/>
          <w:lang w:val="en-US" w:eastAsia="zh-CN"/>
        </w:rPr>
        <w:t>淮口服务区充（换）电站高压改迁工程</w:t>
      </w:r>
      <w:r>
        <w:rPr>
          <w:rFonts w:hint="eastAsia" w:ascii="宋体" w:hAnsi="宋体" w:eastAsia="宋体" w:cs="宋体"/>
          <w:color w:val="auto"/>
          <w:sz w:val="28"/>
          <w:szCs w:val="28"/>
          <w:highlight w:val="none"/>
        </w:rPr>
        <w:t>的质量保修事宜签订工程质量保修协议书。</w:t>
      </w:r>
    </w:p>
    <w:p w14:paraId="40F4BB2D">
      <w:pPr>
        <w:pStyle w:val="9"/>
        <w:spacing w:line="600" w:lineRule="exact"/>
        <w:ind w:left="0" w:leftChars="0" w:firstLine="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1.工程质量保修范围和内容</w:t>
      </w:r>
    </w:p>
    <w:p w14:paraId="115BB9FD">
      <w:pPr>
        <w:pStyle w:val="9"/>
        <w:spacing w:line="600" w:lineRule="exact"/>
        <w:ind w:left="0" w:leftChars="0" w:firstLine="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1.1 </w:t>
      </w:r>
      <w:r>
        <w:rPr>
          <w:rFonts w:hint="eastAsia" w:ascii="宋体" w:hAnsi="宋体" w:cs="宋体"/>
          <w:color w:val="auto"/>
          <w:sz w:val="28"/>
          <w:szCs w:val="28"/>
          <w:highlight w:val="none"/>
          <w:lang w:val="en-US" w:eastAsia="zh-CN"/>
        </w:rPr>
        <w:t>乙方</w:t>
      </w:r>
      <w:r>
        <w:rPr>
          <w:rFonts w:hint="eastAsia" w:ascii="宋体" w:hAnsi="宋体" w:eastAsia="宋体" w:cs="宋体"/>
          <w:color w:val="auto"/>
          <w:sz w:val="28"/>
          <w:szCs w:val="28"/>
          <w:highlight w:val="none"/>
        </w:rPr>
        <w:t>在质量保修范围内，按照有关</w:t>
      </w:r>
      <w:r>
        <w:rPr>
          <w:rFonts w:hint="eastAsia" w:ascii="宋体" w:hAnsi="宋体" w:cs="宋体"/>
          <w:color w:val="auto"/>
          <w:sz w:val="28"/>
          <w:szCs w:val="28"/>
          <w:highlight w:val="none"/>
          <w:lang w:eastAsia="zh-CN"/>
        </w:rPr>
        <w:t>法律法规</w:t>
      </w:r>
      <w:r>
        <w:rPr>
          <w:rFonts w:hint="eastAsia" w:ascii="宋体" w:hAnsi="宋体" w:eastAsia="宋体" w:cs="宋体"/>
          <w:color w:val="auto"/>
          <w:sz w:val="28"/>
          <w:szCs w:val="28"/>
          <w:highlight w:val="none"/>
        </w:rPr>
        <w:t>、规章的管理规定和</w:t>
      </w:r>
      <w:r>
        <w:rPr>
          <w:rFonts w:hint="eastAsia" w:ascii="宋体" w:hAnsi="宋体" w:eastAsia="宋体" w:cs="宋体"/>
          <w:color w:val="auto"/>
          <w:sz w:val="28"/>
          <w:szCs w:val="28"/>
          <w:highlight w:val="none"/>
          <w:lang w:val="en-US" w:eastAsia="zh-CN"/>
        </w:rPr>
        <w:t>双方</w:t>
      </w:r>
      <w:r>
        <w:rPr>
          <w:rFonts w:hint="eastAsia" w:ascii="宋体" w:hAnsi="宋体" w:eastAsia="宋体" w:cs="宋体"/>
          <w:color w:val="auto"/>
          <w:sz w:val="28"/>
          <w:szCs w:val="28"/>
          <w:highlight w:val="none"/>
        </w:rPr>
        <w:t>在主合同中的约定，承担本工程质量保修责任。</w:t>
      </w:r>
    </w:p>
    <w:p w14:paraId="0F567CE9">
      <w:pPr>
        <w:pStyle w:val="9"/>
        <w:spacing w:line="600" w:lineRule="exact"/>
        <w:ind w:left="0" w:leftChars="0" w:firstLine="0" w:firstLineChars="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1.2 质量保修范围</w:t>
      </w:r>
      <w:r>
        <w:rPr>
          <w:rFonts w:hint="eastAsia" w:ascii="宋体" w:hAnsi="宋体" w:eastAsia="宋体" w:cs="宋体"/>
          <w:color w:val="auto"/>
          <w:sz w:val="28"/>
          <w:szCs w:val="28"/>
          <w:highlight w:val="none"/>
          <w:lang w:val="en-US" w:eastAsia="zh-CN"/>
        </w:rPr>
        <w:t>包括但不限于</w:t>
      </w:r>
      <w:r>
        <w:rPr>
          <w:rFonts w:hint="eastAsia" w:ascii="宋体" w:hAnsi="宋体" w:eastAsia="宋体" w:cs="宋体"/>
          <w:color w:val="auto"/>
          <w:sz w:val="28"/>
          <w:szCs w:val="28"/>
          <w:highlight w:val="none"/>
        </w:rPr>
        <w:t>地基基础工程、主体结构工程，</w:t>
      </w:r>
      <w:r>
        <w:rPr>
          <w:rFonts w:hint="default" w:ascii="宋体" w:hAnsi="宋体" w:eastAsia="宋体" w:cs="宋体"/>
          <w:color w:val="auto"/>
          <w:sz w:val="28"/>
          <w:szCs w:val="28"/>
          <w:highlight w:val="none"/>
          <w:lang w:val="en-US" w:eastAsia="zh-CN"/>
        </w:rPr>
        <w:t>配变设备、供电线路</w:t>
      </w:r>
      <w:r>
        <w:rPr>
          <w:rFonts w:hint="eastAsia" w:ascii="宋体" w:hAnsi="宋体" w:eastAsia="宋体" w:cs="宋体"/>
          <w:color w:val="auto"/>
          <w:sz w:val="28"/>
          <w:szCs w:val="28"/>
          <w:highlight w:val="none"/>
          <w:lang w:val="en-US" w:eastAsia="zh-CN"/>
        </w:rPr>
        <w:t>、</w:t>
      </w:r>
      <w:r>
        <w:rPr>
          <w:rFonts w:hint="eastAsia" w:ascii="宋体" w:hAnsi="宋体" w:eastAsia="宋体" w:cs="宋体"/>
          <w:color w:val="auto"/>
          <w:sz w:val="28"/>
          <w:szCs w:val="28"/>
          <w:highlight w:val="none"/>
        </w:rPr>
        <w:t>电气管线、</w:t>
      </w:r>
      <w:r>
        <w:rPr>
          <w:rFonts w:hint="eastAsia" w:ascii="宋体" w:hAnsi="宋体" w:eastAsia="宋体" w:cs="宋体"/>
          <w:color w:val="auto"/>
          <w:sz w:val="28"/>
          <w:szCs w:val="28"/>
          <w:highlight w:val="none"/>
          <w:lang w:val="en-US" w:eastAsia="zh-CN"/>
        </w:rPr>
        <w:t>设施设备、</w:t>
      </w:r>
      <w:r>
        <w:rPr>
          <w:rFonts w:hint="default" w:ascii="宋体" w:hAnsi="宋体" w:eastAsia="宋体" w:cs="宋体"/>
          <w:color w:val="auto"/>
          <w:sz w:val="28"/>
          <w:szCs w:val="28"/>
          <w:highlight w:val="none"/>
          <w:lang w:val="en-US" w:eastAsia="zh-CN"/>
        </w:rPr>
        <w:t>防雷接地</w:t>
      </w:r>
      <w:r>
        <w:rPr>
          <w:rFonts w:hint="eastAsia" w:ascii="宋体" w:hAnsi="宋体" w:eastAsia="宋体" w:cs="宋体"/>
          <w:color w:val="auto"/>
          <w:sz w:val="28"/>
          <w:szCs w:val="28"/>
          <w:highlight w:val="none"/>
          <w:lang w:val="en-US" w:eastAsia="zh-CN"/>
        </w:rPr>
        <w:t>、地面工程、罩棚、监控、照明工程、停车线、停车挡、标识标牌、</w:t>
      </w:r>
      <w:r>
        <w:rPr>
          <w:rFonts w:hint="eastAsia" w:ascii="宋体" w:hAnsi="宋体" w:eastAsia="宋体" w:cs="宋体"/>
          <w:color w:val="auto"/>
          <w:sz w:val="28"/>
          <w:szCs w:val="28"/>
          <w:highlight w:val="none"/>
        </w:rPr>
        <w:t>给排水管道、设备安装和装修工程，以及</w:t>
      </w:r>
      <w:r>
        <w:rPr>
          <w:rFonts w:hint="eastAsia" w:ascii="宋体" w:hAnsi="宋体" w:eastAsia="宋体" w:cs="宋体"/>
          <w:color w:val="auto"/>
          <w:sz w:val="28"/>
          <w:szCs w:val="28"/>
          <w:highlight w:val="none"/>
          <w:lang w:eastAsia="zh-CN"/>
        </w:rPr>
        <w:t>双方</w:t>
      </w:r>
      <w:r>
        <w:rPr>
          <w:rFonts w:hint="eastAsia" w:ascii="宋体" w:hAnsi="宋体" w:eastAsia="宋体" w:cs="宋体"/>
          <w:color w:val="auto"/>
          <w:sz w:val="28"/>
          <w:szCs w:val="28"/>
          <w:highlight w:val="none"/>
        </w:rPr>
        <w:t>约定的其他项目。具体保修的内容，</w:t>
      </w:r>
      <w:r>
        <w:rPr>
          <w:rFonts w:hint="eastAsia" w:ascii="宋体" w:hAnsi="宋体" w:eastAsia="宋体" w:cs="宋体"/>
          <w:color w:val="auto"/>
          <w:sz w:val="28"/>
          <w:szCs w:val="28"/>
          <w:highlight w:val="none"/>
          <w:lang w:eastAsia="zh-CN"/>
        </w:rPr>
        <w:t>双方</w:t>
      </w:r>
      <w:r>
        <w:rPr>
          <w:rFonts w:hint="eastAsia" w:ascii="宋体" w:hAnsi="宋体" w:eastAsia="宋体" w:cs="宋体"/>
          <w:color w:val="auto"/>
          <w:sz w:val="28"/>
          <w:szCs w:val="28"/>
          <w:highlight w:val="none"/>
        </w:rPr>
        <w:t>约定如下：</w:t>
      </w:r>
      <w:r>
        <w:rPr>
          <w:rFonts w:hint="eastAsia" w:ascii="宋体" w:hAnsi="宋体" w:eastAsia="宋体" w:cs="宋体"/>
          <w:color w:val="auto"/>
          <w:sz w:val="28"/>
          <w:szCs w:val="28"/>
          <w:highlight w:val="none"/>
          <w:u w:val="single"/>
          <w:lang w:eastAsia="zh-CN"/>
        </w:rPr>
        <w:t>由乙方实施的全部内容。</w:t>
      </w:r>
      <w:r>
        <w:rPr>
          <w:rFonts w:hint="eastAsia" w:ascii="宋体" w:hAnsi="宋体" w:eastAsia="宋体" w:cs="宋体"/>
          <w:color w:val="auto"/>
          <w:sz w:val="28"/>
          <w:szCs w:val="28"/>
          <w:highlight w:val="none"/>
          <w:u w:val="single"/>
        </w:rPr>
        <w:t xml:space="preserve">                                                        </w:t>
      </w:r>
    </w:p>
    <w:p w14:paraId="09FF6B9D">
      <w:pPr>
        <w:pStyle w:val="9"/>
        <w:spacing w:line="600" w:lineRule="exact"/>
        <w:ind w:left="0" w:leftChars="0" w:firstLine="0"/>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rPr>
        <w:t>2.</w:t>
      </w:r>
      <w:r>
        <w:rPr>
          <w:rFonts w:hint="eastAsia" w:ascii="宋体" w:hAnsi="宋体" w:cs="宋体"/>
          <w:b/>
          <w:color w:val="auto"/>
          <w:sz w:val="28"/>
          <w:szCs w:val="28"/>
          <w:highlight w:val="none"/>
          <w:lang w:eastAsia="zh-CN"/>
        </w:rPr>
        <w:t>质量</w:t>
      </w:r>
      <w:r>
        <w:rPr>
          <w:rFonts w:hint="eastAsia" w:cs="宋体"/>
          <w:b/>
          <w:color w:val="auto"/>
          <w:sz w:val="28"/>
          <w:szCs w:val="28"/>
          <w:highlight w:val="none"/>
          <w:lang w:eastAsia="zh-CN"/>
        </w:rPr>
        <w:t>保修期</w:t>
      </w:r>
    </w:p>
    <w:p w14:paraId="407D9268">
      <w:pPr>
        <w:pStyle w:val="9"/>
        <w:spacing w:line="600" w:lineRule="exact"/>
        <w:ind w:left="0" w:leftChars="0" w:firstLine="0"/>
        <w:rPr>
          <w:rFonts w:hint="eastAsia" w:ascii="宋体" w:hAnsi="宋体" w:eastAsia="宋体" w:cs="宋体"/>
          <w:color w:val="auto"/>
          <w:sz w:val="28"/>
          <w:szCs w:val="28"/>
          <w:highlight w:val="none"/>
        </w:rPr>
      </w:pPr>
      <w:r>
        <w:rPr>
          <w:rFonts w:hint="eastAsia" w:cs="宋体"/>
          <w:color w:val="auto"/>
          <w:sz w:val="28"/>
          <w:szCs w:val="28"/>
          <w:highlight w:val="none"/>
          <w:lang w:eastAsia="zh-CN"/>
        </w:rPr>
        <w:t>双方</w:t>
      </w:r>
      <w:r>
        <w:rPr>
          <w:rFonts w:hint="eastAsia" w:ascii="宋体" w:hAnsi="宋体" w:eastAsia="宋体" w:cs="宋体"/>
          <w:color w:val="auto"/>
          <w:sz w:val="28"/>
          <w:szCs w:val="28"/>
          <w:highlight w:val="none"/>
        </w:rPr>
        <w:t>根据《建设工程质量管理条例》及有关规定，约定本工程</w:t>
      </w:r>
      <w:r>
        <w:rPr>
          <w:rFonts w:hint="eastAsia" w:ascii="宋体" w:hAnsi="宋体" w:cs="宋体"/>
          <w:color w:val="auto"/>
          <w:sz w:val="28"/>
          <w:szCs w:val="28"/>
          <w:highlight w:val="none"/>
          <w:lang w:eastAsia="zh-CN"/>
        </w:rPr>
        <w:t>的质量</w:t>
      </w:r>
      <w:r>
        <w:rPr>
          <w:rFonts w:hint="eastAsia" w:cs="宋体"/>
          <w:color w:val="auto"/>
          <w:sz w:val="28"/>
          <w:szCs w:val="28"/>
          <w:highlight w:val="none"/>
          <w:lang w:eastAsia="zh-CN"/>
        </w:rPr>
        <w:t>保修期</w:t>
      </w:r>
      <w:r>
        <w:rPr>
          <w:rFonts w:hint="eastAsia" w:ascii="宋体" w:hAnsi="宋体" w:eastAsia="宋体" w:cs="宋体"/>
          <w:color w:val="auto"/>
          <w:sz w:val="28"/>
          <w:szCs w:val="28"/>
          <w:highlight w:val="none"/>
        </w:rPr>
        <w:t>如下：</w:t>
      </w:r>
    </w:p>
    <w:p w14:paraId="577B3E11">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2.1 地基基础工程和主体结构工程为设计文件规定的该工程合理使用年限；</w:t>
      </w:r>
    </w:p>
    <w:p w14:paraId="1BFBD8F0">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2.2 屋面防水工程、有防水要求的卫生间、房间和外墙防渗漏为</w:t>
      </w:r>
      <w:r>
        <w:rPr>
          <w:rFonts w:hint="eastAsia" w:ascii="宋体" w:hAnsi="宋体" w:eastAsia="宋体" w:cs="宋体"/>
          <w:color w:val="auto"/>
          <w:sz w:val="28"/>
          <w:szCs w:val="28"/>
          <w:highlight w:val="none"/>
          <w:u w:val="single"/>
        </w:rPr>
        <w:t xml:space="preserve"> 5 </w:t>
      </w:r>
      <w:r>
        <w:rPr>
          <w:rFonts w:hint="eastAsia" w:ascii="宋体" w:hAnsi="宋体" w:eastAsia="宋体" w:cs="宋体"/>
          <w:color w:val="auto"/>
          <w:sz w:val="28"/>
          <w:szCs w:val="28"/>
          <w:highlight w:val="none"/>
        </w:rPr>
        <w:t>年；</w:t>
      </w:r>
    </w:p>
    <w:p w14:paraId="706B2A3E">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2.3 装修工程为</w:t>
      </w:r>
      <w:r>
        <w:rPr>
          <w:rFonts w:hint="eastAsia" w:ascii="宋体" w:hAnsi="宋体" w:eastAsia="宋体" w:cs="宋体"/>
          <w:color w:val="auto"/>
          <w:sz w:val="28"/>
          <w:szCs w:val="28"/>
          <w:highlight w:val="none"/>
          <w:u w:val="single"/>
        </w:rPr>
        <w:t xml:space="preserve"> 2 </w:t>
      </w:r>
      <w:r>
        <w:rPr>
          <w:rFonts w:hint="eastAsia" w:ascii="宋体" w:hAnsi="宋体" w:eastAsia="宋体" w:cs="宋体"/>
          <w:color w:val="auto"/>
          <w:sz w:val="28"/>
          <w:szCs w:val="28"/>
          <w:highlight w:val="none"/>
        </w:rPr>
        <w:t>年；</w:t>
      </w:r>
    </w:p>
    <w:p w14:paraId="62349F75">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2.4 电气管线、给排水管道、设备安装工程为</w:t>
      </w:r>
      <w:r>
        <w:rPr>
          <w:rFonts w:hint="eastAsia" w:ascii="宋体" w:hAnsi="宋体" w:eastAsia="宋体" w:cs="宋体"/>
          <w:color w:val="auto"/>
          <w:sz w:val="28"/>
          <w:szCs w:val="28"/>
          <w:highlight w:val="none"/>
          <w:u w:val="single"/>
        </w:rPr>
        <w:t xml:space="preserve"> 2 </w:t>
      </w:r>
      <w:r>
        <w:rPr>
          <w:rFonts w:hint="eastAsia" w:ascii="宋体" w:hAnsi="宋体" w:eastAsia="宋体" w:cs="宋体"/>
          <w:color w:val="auto"/>
          <w:sz w:val="28"/>
          <w:szCs w:val="28"/>
          <w:highlight w:val="none"/>
        </w:rPr>
        <w:t>年；</w:t>
      </w:r>
    </w:p>
    <w:p w14:paraId="11590CB3">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2.5 供热与供冷系统为</w:t>
      </w:r>
      <w:r>
        <w:rPr>
          <w:rFonts w:hint="eastAsia" w:ascii="宋体" w:hAnsi="宋体" w:eastAsia="宋体" w:cs="宋体"/>
          <w:color w:val="auto"/>
          <w:sz w:val="28"/>
          <w:szCs w:val="28"/>
          <w:highlight w:val="none"/>
          <w:u w:val="single"/>
        </w:rPr>
        <w:t xml:space="preserve"> </w:t>
      </w:r>
      <w:r>
        <w:rPr>
          <w:rFonts w:hint="eastAsia" w:cs="宋体"/>
          <w:color w:val="auto"/>
          <w:sz w:val="28"/>
          <w:szCs w:val="28"/>
          <w:highlight w:val="none"/>
          <w:u w:val="single"/>
          <w:lang w:val="en-US" w:eastAsia="zh-CN"/>
        </w:rPr>
        <w:t>2</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个采暖期、供冷期；</w:t>
      </w:r>
    </w:p>
    <w:p w14:paraId="0B2620D4">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2.6 给排水设施、道路等配套工程为</w:t>
      </w:r>
      <w:r>
        <w:rPr>
          <w:rFonts w:hint="eastAsia" w:ascii="宋体" w:hAnsi="宋体" w:eastAsia="宋体" w:cs="宋体"/>
          <w:color w:val="auto"/>
          <w:sz w:val="28"/>
          <w:szCs w:val="28"/>
          <w:highlight w:val="none"/>
          <w:u w:val="single"/>
        </w:rPr>
        <w:t xml:space="preserve"> 2</w:t>
      </w:r>
      <w:r>
        <w:rPr>
          <w:rFonts w:hint="eastAsia" w:ascii="宋体" w:hAnsi="宋体" w:eastAsia="宋体" w:cs="宋体"/>
          <w:color w:val="auto"/>
          <w:sz w:val="28"/>
          <w:szCs w:val="28"/>
          <w:highlight w:val="none"/>
        </w:rPr>
        <w:t>年；</w:t>
      </w:r>
    </w:p>
    <w:p w14:paraId="773AFA14">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firstLineChars="0"/>
        <w:textAlignment w:val="auto"/>
        <w:rPr>
          <w:rFonts w:hint="eastAsia" w:ascii="宋体" w:hAnsi="宋体" w:eastAsia="宋体" w:cs="宋体"/>
          <w:color w:val="auto"/>
          <w:sz w:val="28"/>
          <w:szCs w:val="28"/>
          <w:highlight w:val="none"/>
          <w:u w:val="single"/>
          <w:lang w:eastAsia="zh-CN"/>
        </w:rPr>
      </w:pPr>
      <w:r>
        <w:rPr>
          <w:rFonts w:hint="eastAsia" w:ascii="宋体" w:hAnsi="宋体" w:eastAsia="宋体" w:cs="宋体"/>
          <w:color w:val="auto"/>
          <w:sz w:val="28"/>
          <w:szCs w:val="28"/>
          <w:highlight w:val="none"/>
        </w:rPr>
        <w:t>2.7 其他项目</w:t>
      </w:r>
      <w:r>
        <w:rPr>
          <w:rFonts w:hint="eastAsia" w:cs="宋体"/>
          <w:color w:val="auto"/>
          <w:sz w:val="28"/>
          <w:szCs w:val="28"/>
          <w:highlight w:val="none"/>
          <w:lang w:eastAsia="zh-CN"/>
        </w:rPr>
        <w:t>质量保修期</w:t>
      </w:r>
      <w:r>
        <w:rPr>
          <w:rFonts w:hint="eastAsia" w:ascii="宋体" w:hAnsi="宋体" w:eastAsia="宋体" w:cs="宋体"/>
          <w:color w:val="auto"/>
          <w:sz w:val="28"/>
          <w:szCs w:val="28"/>
          <w:highlight w:val="none"/>
        </w:rPr>
        <w:t>限约定如下：</w:t>
      </w:r>
      <w:r>
        <w:rPr>
          <w:rFonts w:hint="eastAsia" w:ascii="宋体" w:hAnsi="宋体" w:eastAsia="宋体" w:cs="宋体"/>
          <w:color w:val="auto"/>
          <w:sz w:val="28"/>
          <w:szCs w:val="28"/>
          <w:highlight w:val="none"/>
          <w:u w:val="single"/>
        </w:rPr>
        <w:t xml:space="preserve"> 2</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lang w:val="en-US" w:eastAsia="zh-CN"/>
        </w:rPr>
        <w:t>；</w:t>
      </w:r>
    </w:p>
    <w:p w14:paraId="3157888A">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2.8 </w:t>
      </w:r>
      <w:r>
        <w:rPr>
          <w:rFonts w:hint="eastAsia" w:ascii="宋体" w:hAnsi="宋体" w:cs="宋体"/>
          <w:color w:val="auto"/>
          <w:sz w:val="28"/>
          <w:szCs w:val="28"/>
          <w:highlight w:val="none"/>
          <w:lang w:eastAsia="zh-CN"/>
        </w:rPr>
        <w:t>质量</w:t>
      </w:r>
      <w:r>
        <w:rPr>
          <w:rFonts w:hint="eastAsia" w:cs="宋体"/>
          <w:color w:val="auto"/>
          <w:sz w:val="28"/>
          <w:szCs w:val="28"/>
          <w:highlight w:val="none"/>
          <w:lang w:eastAsia="zh-CN"/>
        </w:rPr>
        <w:t>保修期</w:t>
      </w:r>
      <w:r>
        <w:rPr>
          <w:rFonts w:hint="eastAsia" w:ascii="宋体" w:hAnsi="宋体" w:eastAsia="宋体" w:cs="宋体"/>
          <w:color w:val="auto"/>
          <w:sz w:val="28"/>
          <w:szCs w:val="28"/>
          <w:highlight w:val="none"/>
        </w:rPr>
        <w:t>自</w:t>
      </w:r>
      <w:r>
        <w:rPr>
          <w:rFonts w:hint="eastAsia" w:ascii="宋体" w:hAnsi="宋体" w:eastAsia="宋体" w:cs="宋体"/>
          <w:color w:val="auto"/>
          <w:sz w:val="28"/>
          <w:szCs w:val="28"/>
          <w:highlight w:val="none"/>
          <w:lang w:val="en-US" w:eastAsia="zh-CN"/>
        </w:rPr>
        <w:t>全部</w:t>
      </w:r>
      <w:r>
        <w:rPr>
          <w:rFonts w:hint="eastAsia" w:ascii="宋体" w:hAnsi="宋体" w:eastAsia="宋体" w:cs="宋体"/>
          <w:color w:val="auto"/>
          <w:sz w:val="28"/>
          <w:szCs w:val="28"/>
          <w:highlight w:val="none"/>
        </w:rPr>
        <w:t>工程竣工验收合格之日起计算。</w:t>
      </w:r>
    </w:p>
    <w:p w14:paraId="160B5C6D">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3.质量保修责任</w:t>
      </w:r>
    </w:p>
    <w:p w14:paraId="6CD0E7F7">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3.1 属于保修范围、内容的项目，</w:t>
      </w:r>
      <w:r>
        <w:rPr>
          <w:rFonts w:hint="eastAsia" w:ascii="宋体" w:hAnsi="宋体" w:cs="宋体"/>
          <w:color w:val="auto"/>
          <w:sz w:val="28"/>
          <w:szCs w:val="28"/>
          <w:highlight w:val="none"/>
          <w:lang w:val="en-US" w:eastAsia="zh-CN"/>
        </w:rPr>
        <w:t>乙方</w:t>
      </w:r>
      <w:r>
        <w:rPr>
          <w:rFonts w:hint="eastAsia" w:ascii="宋体" w:hAnsi="宋体" w:eastAsia="宋体" w:cs="宋体"/>
          <w:color w:val="auto"/>
          <w:sz w:val="28"/>
          <w:szCs w:val="28"/>
          <w:highlight w:val="none"/>
        </w:rPr>
        <w:t>应在接到保修通知之日起7天内派人保修。</w:t>
      </w:r>
      <w:r>
        <w:rPr>
          <w:rFonts w:hint="eastAsia" w:ascii="宋体" w:hAnsi="宋体" w:cs="宋体"/>
          <w:color w:val="auto"/>
          <w:sz w:val="28"/>
          <w:szCs w:val="28"/>
          <w:highlight w:val="none"/>
          <w:lang w:val="en-US" w:eastAsia="zh-CN"/>
        </w:rPr>
        <w:t>乙方</w:t>
      </w:r>
      <w:r>
        <w:rPr>
          <w:rFonts w:hint="eastAsia" w:ascii="宋体" w:hAnsi="宋体" w:eastAsia="宋体" w:cs="宋体"/>
          <w:color w:val="auto"/>
          <w:sz w:val="28"/>
          <w:szCs w:val="28"/>
          <w:highlight w:val="none"/>
        </w:rPr>
        <w:t>不在约定期限内派人保修的，</w:t>
      </w:r>
      <w:r>
        <w:rPr>
          <w:rFonts w:hint="eastAsia" w:ascii="宋体" w:hAnsi="宋体" w:cs="宋体"/>
          <w:color w:val="auto"/>
          <w:sz w:val="28"/>
          <w:szCs w:val="28"/>
          <w:highlight w:val="none"/>
          <w:lang w:val="en-US" w:eastAsia="zh-CN"/>
        </w:rPr>
        <w:t>甲方</w:t>
      </w:r>
      <w:r>
        <w:rPr>
          <w:rFonts w:hint="eastAsia" w:ascii="宋体" w:hAnsi="宋体" w:eastAsia="宋体" w:cs="宋体"/>
          <w:color w:val="auto"/>
          <w:sz w:val="28"/>
          <w:szCs w:val="28"/>
          <w:highlight w:val="none"/>
        </w:rPr>
        <w:t>可委托他人修理。</w:t>
      </w:r>
    </w:p>
    <w:p w14:paraId="20A3EC9B">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3.2 发生紧急抢修事故的，</w:t>
      </w:r>
      <w:r>
        <w:rPr>
          <w:rFonts w:hint="eastAsia" w:ascii="宋体" w:hAnsi="宋体" w:cs="宋体"/>
          <w:color w:val="auto"/>
          <w:sz w:val="28"/>
          <w:szCs w:val="28"/>
          <w:highlight w:val="none"/>
          <w:lang w:val="en-US" w:eastAsia="zh-CN"/>
        </w:rPr>
        <w:t>乙方</w:t>
      </w:r>
      <w:r>
        <w:rPr>
          <w:rFonts w:hint="eastAsia" w:ascii="宋体" w:hAnsi="宋体" w:eastAsia="宋体" w:cs="宋体"/>
          <w:color w:val="auto"/>
          <w:sz w:val="28"/>
          <w:szCs w:val="28"/>
          <w:highlight w:val="none"/>
        </w:rPr>
        <w:t>在接到事故通知后，应当立即到达事故现场抢修。</w:t>
      </w:r>
    </w:p>
    <w:p w14:paraId="78F83CBC">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3.3 对于涉及结构安全的质量问题，应当按照《房屋建筑工程质量保修办法》的规定，立即向当地建设行政主管部门报告，采取安全防范措施；由原设计单位或者具有相应资质等级的设计单位提出保修方案，</w:t>
      </w:r>
      <w:r>
        <w:rPr>
          <w:rFonts w:hint="eastAsia" w:ascii="宋体" w:hAnsi="宋体" w:cs="宋体"/>
          <w:color w:val="auto"/>
          <w:sz w:val="28"/>
          <w:szCs w:val="28"/>
          <w:highlight w:val="none"/>
          <w:lang w:val="en-US" w:eastAsia="zh-CN"/>
        </w:rPr>
        <w:t>乙方</w:t>
      </w:r>
      <w:r>
        <w:rPr>
          <w:rFonts w:hint="eastAsia" w:ascii="宋体" w:hAnsi="宋体" w:eastAsia="宋体" w:cs="宋体"/>
          <w:color w:val="auto"/>
          <w:sz w:val="28"/>
          <w:szCs w:val="28"/>
          <w:highlight w:val="none"/>
        </w:rPr>
        <w:t>实施保修。</w:t>
      </w:r>
    </w:p>
    <w:p w14:paraId="6C612A27">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3.4 质量保修完成后，由</w:t>
      </w:r>
      <w:r>
        <w:rPr>
          <w:rFonts w:hint="eastAsia" w:ascii="宋体" w:hAnsi="宋体" w:cs="宋体"/>
          <w:color w:val="auto"/>
          <w:sz w:val="28"/>
          <w:szCs w:val="28"/>
          <w:highlight w:val="none"/>
          <w:lang w:val="en-US" w:eastAsia="zh-CN"/>
        </w:rPr>
        <w:t>甲方</w:t>
      </w:r>
      <w:r>
        <w:rPr>
          <w:rFonts w:hint="eastAsia" w:ascii="宋体" w:hAnsi="宋体" w:eastAsia="宋体" w:cs="宋体"/>
          <w:color w:val="auto"/>
          <w:sz w:val="28"/>
          <w:szCs w:val="28"/>
          <w:highlight w:val="none"/>
        </w:rPr>
        <w:t>组织验收。</w:t>
      </w:r>
    </w:p>
    <w:p w14:paraId="0526915E">
      <w:pPr>
        <w:pStyle w:val="9"/>
        <w:keepNext w:val="0"/>
        <w:keepLines w:val="0"/>
        <w:pageBreakBefore w:val="0"/>
        <w:widowControl w:val="0"/>
        <w:kinsoku/>
        <w:wordWrap/>
        <w:overflowPunct/>
        <w:topLinePunct w:val="0"/>
        <w:autoSpaceDE/>
        <w:autoSpaceDN/>
        <w:bidi w:val="0"/>
        <w:adjustRightInd/>
        <w:snapToGrid/>
        <w:spacing w:line="600" w:lineRule="exact"/>
        <w:ind w:left="0" w:leftChars="0" w:firstLine="0"/>
        <w:jc w:val="left"/>
        <w:textAlignment w:val="auto"/>
        <w:rPr>
          <w:rFonts w:hint="default"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rPr>
        <w:t>4.</w:t>
      </w:r>
      <w:r>
        <w:rPr>
          <w:rFonts w:hint="eastAsia" w:ascii="宋体" w:hAnsi="宋体" w:cs="宋体"/>
          <w:b/>
          <w:color w:val="auto"/>
          <w:sz w:val="28"/>
          <w:szCs w:val="28"/>
          <w:highlight w:val="none"/>
          <w:lang w:val="en-US" w:eastAsia="zh-CN"/>
        </w:rPr>
        <w:t>保修金支付</w:t>
      </w:r>
    </w:p>
    <w:p w14:paraId="51EACF3A">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4.1工程质保金金额为经甲方委托的造价咨询单位审定后的工程竣工结算审定价款的3% 。在缺陷责任期满后，乙方向甲方申请到期应返还乙方的质量保证金金额，甲方应在</w:t>
      </w:r>
      <w:r>
        <w:rPr>
          <w:rFonts w:hint="eastAsia" w:ascii="宋体" w:hAnsi="宋体" w:cs="宋体"/>
          <w:color w:val="auto"/>
          <w:sz w:val="28"/>
          <w:szCs w:val="28"/>
          <w:highlight w:val="none"/>
          <w:lang w:val="en-US" w:eastAsia="zh-CN"/>
        </w:rPr>
        <w:t>28</w:t>
      </w:r>
      <w:r>
        <w:rPr>
          <w:rFonts w:hint="eastAsia" w:ascii="宋体" w:hAnsi="宋体" w:eastAsia="宋体" w:cs="宋体"/>
          <w:color w:val="auto"/>
          <w:sz w:val="28"/>
          <w:szCs w:val="28"/>
          <w:highlight w:val="none"/>
        </w:rPr>
        <w:t>天内会同乙方按照合同约定的内容核实乙方是否完成缺陷责任。如无异议，甲方应当在核实后将剩余保证金无息返还乙方。</w:t>
      </w:r>
    </w:p>
    <w:p w14:paraId="6E5366F1">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4.2在缺陷责任期乙方没有履行质保义务的，甲方有权扣留与未履行责任剩余工作所需金额相应的质量保证金余额，并有权要求延长缺陷责任期，直至完成剩余工作为止。 </w:t>
      </w:r>
    </w:p>
    <w:p w14:paraId="2253FA6E">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0"/>
        <w:textAlignment w:val="auto"/>
        <w:rPr>
          <w:rFonts w:hint="eastAsia" w:ascii="宋体" w:hAnsi="宋体" w:eastAsia="宋体" w:cs="宋体"/>
          <w:b/>
          <w:color w:val="auto"/>
          <w:sz w:val="28"/>
          <w:szCs w:val="28"/>
          <w:highlight w:val="none"/>
        </w:rPr>
      </w:pPr>
      <w:r>
        <w:rPr>
          <w:rFonts w:hint="eastAsia" w:ascii="宋体" w:hAnsi="宋体" w:eastAsia="宋体" w:cs="宋体"/>
          <w:color w:val="auto"/>
          <w:sz w:val="28"/>
          <w:szCs w:val="28"/>
          <w:highlight w:val="none"/>
        </w:rPr>
        <w:t>4.3本项目缺陷责任期为24个月，自工程</w:t>
      </w:r>
      <w:r>
        <w:rPr>
          <w:rFonts w:hint="eastAsia" w:ascii="宋体" w:hAnsi="宋体" w:cs="宋体"/>
          <w:color w:val="auto"/>
          <w:sz w:val="28"/>
          <w:szCs w:val="28"/>
          <w:highlight w:val="none"/>
          <w:lang w:val="en-US" w:eastAsia="zh-CN"/>
        </w:rPr>
        <w:t>竣工验收</w:t>
      </w:r>
      <w:r>
        <w:rPr>
          <w:rFonts w:hint="eastAsia" w:ascii="宋体" w:hAnsi="宋体" w:eastAsia="宋体" w:cs="宋体"/>
          <w:color w:val="auto"/>
          <w:sz w:val="28"/>
          <w:szCs w:val="28"/>
          <w:highlight w:val="none"/>
        </w:rPr>
        <w:t>证书中写明的全部工程竣工验收合格之日开始算起。缺陷责任期满后，乙方的保修责任延续。</w:t>
      </w:r>
    </w:p>
    <w:p w14:paraId="1F9544AA">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0"/>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5.其他</w:t>
      </w:r>
    </w:p>
    <w:p w14:paraId="2F84F3B9">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5.1 </w:t>
      </w:r>
      <w:r>
        <w:rPr>
          <w:rFonts w:hint="eastAsia" w:ascii="宋体" w:hAnsi="宋体" w:cs="宋体"/>
          <w:color w:val="auto"/>
          <w:sz w:val="28"/>
          <w:szCs w:val="28"/>
          <w:highlight w:val="none"/>
          <w:lang w:eastAsia="zh-CN"/>
        </w:rPr>
        <w:t>双方</w:t>
      </w:r>
      <w:r>
        <w:rPr>
          <w:rFonts w:hint="eastAsia" w:ascii="宋体" w:hAnsi="宋体" w:eastAsia="宋体" w:cs="宋体"/>
          <w:color w:val="auto"/>
          <w:sz w:val="28"/>
          <w:szCs w:val="28"/>
          <w:highlight w:val="none"/>
        </w:rPr>
        <w:t>约定的其他工程质量保修事项：</w:t>
      </w:r>
    </w:p>
    <w:p w14:paraId="38CD7534">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5.2 本工程质量保修书，由甲乙</w:t>
      </w:r>
      <w:r>
        <w:rPr>
          <w:rFonts w:hint="eastAsia" w:ascii="宋体" w:hAnsi="宋体" w:cs="宋体"/>
          <w:color w:val="auto"/>
          <w:sz w:val="28"/>
          <w:szCs w:val="28"/>
          <w:highlight w:val="none"/>
          <w:lang w:eastAsia="zh-CN"/>
        </w:rPr>
        <w:t>双方</w:t>
      </w:r>
      <w:r>
        <w:rPr>
          <w:rFonts w:hint="eastAsia" w:ascii="宋体" w:hAnsi="宋体" w:eastAsia="宋体" w:cs="宋体"/>
          <w:color w:val="auto"/>
          <w:sz w:val="28"/>
          <w:szCs w:val="28"/>
          <w:highlight w:val="none"/>
        </w:rPr>
        <w:t>在竣工验收前共同签署，作为</w:t>
      </w:r>
      <w:r>
        <w:rPr>
          <w:rFonts w:hint="eastAsia" w:ascii="宋体" w:hAnsi="宋体" w:cs="宋体"/>
          <w:color w:val="auto"/>
          <w:sz w:val="28"/>
          <w:szCs w:val="28"/>
          <w:highlight w:val="none"/>
          <w:lang w:val="en-US" w:eastAsia="zh-CN"/>
        </w:rPr>
        <w:t>淮口服务区充（换）电站高压改迁工程</w:t>
      </w:r>
      <w:r>
        <w:rPr>
          <w:rFonts w:hint="eastAsia" w:ascii="宋体" w:hAnsi="宋体" w:cs="宋体"/>
          <w:color w:val="auto"/>
          <w:sz w:val="28"/>
          <w:szCs w:val="28"/>
          <w:highlight w:val="none"/>
          <w:lang w:eastAsia="zh-CN"/>
        </w:rPr>
        <w:t>《</w:t>
      </w:r>
      <w:r>
        <w:rPr>
          <w:rFonts w:hint="eastAsia" w:ascii="宋体" w:hAnsi="宋体" w:cs="宋体"/>
          <w:b w:val="0"/>
          <w:bCs w:val="0"/>
          <w:color w:val="auto"/>
          <w:kern w:val="2"/>
          <w:sz w:val="28"/>
          <w:szCs w:val="28"/>
          <w:highlight w:val="none"/>
          <w:lang w:val="en-US" w:eastAsia="zh-CN" w:bidi="en-US"/>
        </w:rPr>
        <w:t>建设工程</w:t>
      </w:r>
      <w:r>
        <w:rPr>
          <w:rFonts w:hint="eastAsia" w:ascii="宋体" w:hAnsi="宋体" w:eastAsia="宋体" w:cs="宋体"/>
          <w:color w:val="auto"/>
          <w:sz w:val="28"/>
          <w:szCs w:val="28"/>
          <w:highlight w:val="none"/>
        </w:rPr>
        <w:t>施工合同</w:t>
      </w:r>
      <w:r>
        <w:rPr>
          <w:rFonts w:hint="eastAsia" w:ascii="宋体" w:hAnsi="宋体" w:cs="宋体"/>
          <w:color w:val="auto"/>
          <w:sz w:val="28"/>
          <w:szCs w:val="28"/>
          <w:highlight w:val="none"/>
          <w:lang w:eastAsia="zh-CN"/>
        </w:rPr>
        <w:t>》</w:t>
      </w:r>
      <w:r>
        <w:rPr>
          <w:rFonts w:hint="eastAsia" w:ascii="宋体" w:hAnsi="宋体" w:eastAsia="宋体" w:cs="宋体"/>
          <w:color w:val="auto"/>
          <w:sz w:val="28"/>
          <w:szCs w:val="28"/>
          <w:highlight w:val="none"/>
        </w:rPr>
        <w:t>附件，其有效期限至</w:t>
      </w:r>
      <w:r>
        <w:rPr>
          <w:rFonts w:hint="eastAsia" w:ascii="宋体" w:hAnsi="宋体" w:cs="宋体"/>
          <w:color w:val="auto"/>
          <w:sz w:val="28"/>
          <w:szCs w:val="28"/>
          <w:highlight w:val="none"/>
          <w:lang w:eastAsia="zh-CN"/>
        </w:rPr>
        <w:t>质量保修期</w:t>
      </w:r>
      <w:r>
        <w:rPr>
          <w:rFonts w:hint="eastAsia" w:ascii="宋体" w:hAnsi="宋体" w:eastAsia="宋体" w:cs="宋体"/>
          <w:color w:val="auto"/>
          <w:sz w:val="28"/>
          <w:szCs w:val="28"/>
          <w:highlight w:val="none"/>
        </w:rPr>
        <w:t>满。</w:t>
      </w:r>
    </w:p>
    <w:p w14:paraId="4DAE6FFD">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textAlignment w:val="auto"/>
        <w:rPr>
          <w:rFonts w:hint="eastAsia" w:ascii="宋体" w:hAnsi="宋体" w:cs="宋体"/>
          <w:color w:val="auto"/>
          <w:sz w:val="28"/>
          <w:szCs w:val="28"/>
          <w:highlight w:val="none"/>
        </w:rPr>
      </w:pPr>
      <w:r>
        <w:rPr>
          <w:rFonts w:hint="eastAsia" w:ascii="宋体" w:hAnsi="宋体" w:eastAsia="宋体" w:cs="宋体"/>
          <w:color w:val="auto"/>
          <w:kern w:val="2"/>
          <w:sz w:val="28"/>
          <w:szCs w:val="28"/>
          <w:highlight w:val="none"/>
          <w:lang w:val="en-US" w:eastAsia="zh-CN" w:bidi="ar-SA"/>
        </w:rPr>
        <w:t>5.3本</w:t>
      </w:r>
      <w:r>
        <w:rPr>
          <w:rFonts w:hint="eastAsia" w:ascii="宋体" w:hAnsi="宋体" w:cs="宋体"/>
          <w:color w:val="auto"/>
          <w:kern w:val="2"/>
          <w:sz w:val="28"/>
          <w:szCs w:val="28"/>
          <w:highlight w:val="none"/>
          <w:lang w:val="en-US" w:eastAsia="zh-CN" w:bidi="ar-SA"/>
        </w:rPr>
        <w:t>协议书</w:t>
      </w:r>
      <w:r>
        <w:rPr>
          <w:rFonts w:hint="eastAsia" w:ascii="宋体" w:hAnsi="宋体" w:eastAsia="宋体" w:cs="宋体"/>
          <w:color w:val="auto"/>
          <w:kern w:val="2"/>
          <w:sz w:val="28"/>
          <w:szCs w:val="28"/>
          <w:highlight w:val="none"/>
          <w:lang w:val="en-US" w:eastAsia="zh-CN" w:bidi="ar-SA"/>
        </w:rPr>
        <w:t>一式</w:t>
      </w:r>
      <w:r>
        <w:rPr>
          <w:rFonts w:hint="eastAsia" w:ascii="宋体" w:hAnsi="宋体" w:cs="宋体"/>
          <w:color w:val="auto"/>
          <w:kern w:val="2"/>
          <w:sz w:val="28"/>
          <w:szCs w:val="28"/>
          <w:highlight w:val="none"/>
          <w:lang w:val="en-US" w:eastAsia="zh-CN" w:bidi="ar-SA"/>
        </w:rPr>
        <w:t>捌</w:t>
      </w:r>
      <w:r>
        <w:rPr>
          <w:rFonts w:hint="eastAsia" w:ascii="宋体" w:hAnsi="宋体" w:eastAsia="宋体" w:cs="宋体"/>
          <w:color w:val="auto"/>
          <w:kern w:val="2"/>
          <w:sz w:val="28"/>
          <w:szCs w:val="28"/>
          <w:highlight w:val="none"/>
          <w:lang w:val="en-US" w:eastAsia="zh-CN" w:bidi="ar-SA"/>
        </w:rPr>
        <w:t>份，由甲方执肆份，乙方执肆份。</w:t>
      </w:r>
    </w:p>
    <w:tbl>
      <w:tblPr>
        <w:tblStyle w:val="16"/>
        <w:tblpPr w:leftFromText="180" w:rightFromText="180" w:vertAnchor="text" w:horzAnchor="page" w:tblpX="1780" w:tblpY="588"/>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28"/>
        <w:gridCol w:w="4428"/>
      </w:tblGrid>
      <w:tr w14:paraId="5279D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2" w:hRule="atLeast"/>
        </w:trPr>
        <w:tc>
          <w:tcPr>
            <w:tcW w:w="2500" w:type="pct"/>
            <w:noWrap w:val="0"/>
            <w:vAlign w:val="top"/>
          </w:tcPr>
          <w:p w14:paraId="15A597C2">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lang w:val="en-US" w:eastAsia="zh-CN"/>
              </w:rPr>
              <w:t>甲方（盖章）</w:t>
            </w:r>
            <w:r>
              <w:rPr>
                <w:rFonts w:hint="eastAsia" w:ascii="仿宋" w:hAnsi="仿宋" w:eastAsia="仿宋" w:cs="仿宋"/>
                <w:color w:val="auto"/>
                <w:sz w:val="28"/>
                <w:szCs w:val="28"/>
                <w:highlight w:val="none"/>
              </w:rPr>
              <w:t>：四川蜀道新能源科技发展有限公司</w:t>
            </w:r>
          </w:p>
        </w:tc>
        <w:tc>
          <w:tcPr>
            <w:tcW w:w="2500" w:type="pct"/>
            <w:noWrap w:val="0"/>
            <w:vAlign w:val="top"/>
          </w:tcPr>
          <w:p w14:paraId="6E21C1AE">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lang w:val="en-US" w:eastAsia="zh-CN"/>
              </w:rPr>
              <w:t>乙方（盖章）</w:t>
            </w:r>
            <w:r>
              <w:rPr>
                <w:rFonts w:hint="eastAsia" w:ascii="仿宋" w:hAnsi="仿宋" w:eastAsia="仿宋" w:cs="仿宋"/>
                <w:color w:val="auto"/>
                <w:sz w:val="28"/>
                <w:szCs w:val="28"/>
                <w:highlight w:val="none"/>
              </w:rPr>
              <w:t>：</w:t>
            </w:r>
          </w:p>
        </w:tc>
      </w:tr>
      <w:tr w14:paraId="20508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2500" w:type="pct"/>
            <w:noWrap w:val="0"/>
            <w:vAlign w:val="top"/>
          </w:tcPr>
          <w:p w14:paraId="02734CCB">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rPr>
            </w:pPr>
          </w:p>
          <w:p w14:paraId="482D1B43">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法定代表人</w:t>
            </w:r>
            <w:r>
              <w:rPr>
                <w:rFonts w:hint="eastAsia" w:ascii="仿宋" w:hAnsi="仿宋" w:eastAsia="仿宋" w:cs="仿宋"/>
                <w:color w:val="auto"/>
                <w:sz w:val="28"/>
                <w:szCs w:val="28"/>
                <w:highlight w:val="none"/>
                <w:lang w:eastAsia="zh-CN"/>
              </w:rPr>
              <w:t>：</w:t>
            </w:r>
          </w:p>
          <w:p w14:paraId="44D2A1EE">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rPr>
            </w:pPr>
            <w:r>
              <w:rPr>
                <w:rFonts w:hint="eastAsia" w:ascii="仿宋" w:hAnsi="仿宋" w:eastAsia="仿宋" w:cs="仿宋"/>
                <w:color w:val="auto"/>
                <w:sz w:val="28"/>
                <w:szCs w:val="28"/>
                <w:highlight w:val="none"/>
                <w:lang w:val="en-US" w:eastAsia="zh-CN"/>
              </w:rPr>
              <w:t>或</w:t>
            </w:r>
            <w:r>
              <w:rPr>
                <w:rFonts w:hint="eastAsia" w:ascii="仿宋" w:hAnsi="仿宋" w:eastAsia="仿宋" w:cs="仿宋"/>
                <w:color w:val="auto"/>
                <w:sz w:val="28"/>
                <w:szCs w:val="28"/>
                <w:highlight w:val="none"/>
              </w:rPr>
              <w:t>委托代理人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签字</w:t>
            </w:r>
            <w:r>
              <w:rPr>
                <w:rFonts w:hint="eastAsia" w:ascii="仿宋" w:hAnsi="仿宋" w:eastAsia="仿宋" w:cs="仿宋"/>
                <w:color w:val="auto"/>
                <w:sz w:val="28"/>
                <w:szCs w:val="28"/>
                <w:highlight w:val="none"/>
                <w:lang w:eastAsia="zh-CN"/>
              </w:rPr>
              <w:t>）：</w:t>
            </w:r>
          </w:p>
        </w:tc>
        <w:tc>
          <w:tcPr>
            <w:tcW w:w="2500" w:type="pct"/>
            <w:noWrap w:val="0"/>
            <w:vAlign w:val="top"/>
          </w:tcPr>
          <w:p w14:paraId="5D22B736">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rPr>
            </w:pPr>
          </w:p>
          <w:p w14:paraId="68E3E68E">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法定代表人</w:t>
            </w:r>
            <w:r>
              <w:rPr>
                <w:rFonts w:hint="eastAsia" w:ascii="仿宋" w:hAnsi="仿宋" w:eastAsia="仿宋" w:cs="仿宋"/>
                <w:color w:val="auto"/>
                <w:sz w:val="28"/>
                <w:szCs w:val="28"/>
                <w:highlight w:val="none"/>
                <w:lang w:eastAsia="zh-CN"/>
              </w:rPr>
              <w:t>：</w:t>
            </w:r>
          </w:p>
          <w:p w14:paraId="648F1BD7">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rPr>
            </w:pPr>
            <w:r>
              <w:rPr>
                <w:rFonts w:hint="eastAsia" w:ascii="仿宋" w:hAnsi="仿宋" w:eastAsia="仿宋" w:cs="仿宋"/>
                <w:color w:val="auto"/>
                <w:sz w:val="28"/>
                <w:szCs w:val="28"/>
                <w:highlight w:val="none"/>
                <w:lang w:val="en-US" w:eastAsia="zh-CN"/>
              </w:rPr>
              <w:t>或</w:t>
            </w:r>
            <w:r>
              <w:rPr>
                <w:rFonts w:hint="eastAsia" w:ascii="仿宋" w:hAnsi="仿宋" w:eastAsia="仿宋" w:cs="仿宋"/>
                <w:color w:val="auto"/>
                <w:sz w:val="28"/>
                <w:szCs w:val="28"/>
                <w:highlight w:val="none"/>
              </w:rPr>
              <w:t>委托代理人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签字</w:t>
            </w:r>
            <w:r>
              <w:rPr>
                <w:rFonts w:hint="eastAsia" w:ascii="仿宋" w:hAnsi="仿宋" w:eastAsia="仿宋" w:cs="仿宋"/>
                <w:color w:val="auto"/>
                <w:sz w:val="28"/>
                <w:szCs w:val="28"/>
                <w:highlight w:val="none"/>
                <w:lang w:eastAsia="zh-CN"/>
              </w:rPr>
              <w:t>）：</w:t>
            </w:r>
          </w:p>
        </w:tc>
      </w:tr>
      <w:tr w14:paraId="162FE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2500" w:type="pct"/>
            <w:noWrap w:val="0"/>
            <w:vAlign w:val="top"/>
          </w:tcPr>
          <w:p w14:paraId="41982664">
            <w:pPr>
              <w:keepNext w:val="0"/>
              <w:keepLines w:val="0"/>
              <w:pageBreakBefore w:val="0"/>
              <w:widowControl w:val="0"/>
              <w:kinsoku/>
              <w:wordWrap/>
              <w:overflowPunct/>
              <w:topLinePunct w:val="0"/>
              <w:autoSpaceDE/>
              <w:autoSpaceDN/>
              <w:bidi w:val="0"/>
              <w:adjustRightInd w:val="0"/>
              <w:snapToGrid w:val="0"/>
              <w:spacing w:line="360" w:lineRule="auto"/>
              <w:ind w:right="0"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lang w:eastAsia="zh-CN"/>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lang w:eastAsia="zh-CN"/>
              </w:rPr>
              <w:t xml:space="preserve">日          </w:t>
            </w:r>
          </w:p>
          <w:p w14:paraId="4EA6277A">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lang w:val="en-US" w:eastAsia="zh-CN"/>
              </w:rPr>
            </w:pPr>
          </w:p>
        </w:tc>
        <w:tc>
          <w:tcPr>
            <w:tcW w:w="2500" w:type="pct"/>
            <w:noWrap w:val="0"/>
            <w:vAlign w:val="top"/>
          </w:tcPr>
          <w:p w14:paraId="7065A467">
            <w:pPr>
              <w:keepNext w:val="0"/>
              <w:keepLines w:val="0"/>
              <w:pageBreakBefore w:val="0"/>
              <w:widowControl w:val="0"/>
              <w:kinsoku/>
              <w:wordWrap/>
              <w:overflowPunct/>
              <w:topLinePunct w:val="0"/>
              <w:autoSpaceDE/>
              <w:autoSpaceDN/>
              <w:bidi w:val="0"/>
              <w:adjustRightInd w:val="0"/>
              <w:snapToGrid w:val="0"/>
              <w:spacing w:line="360" w:lineRule="auto"/>
              <w:ind w:right="0"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lang w:eastAsia="zh-CN"/>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lang w:eastAsia="zh-CN"/>
              </w:rPr>
              <w:t xml:space="preserve">日          </w:t>
            </w:r>
          </w:p>
          <w:p w14:paraId="6FAE3857">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lang w:val="en-US" w:eastAsia="zh-CN"/>
              </w:rPr>
            </w:pPr>
          </w:p>
        </w:tc>
      </w:tr>
    </w:tbl>
    <w:p w14:paraId="37ADAA5E">
      <w:pPr>
        <w:spacing w:line="600" w:lineRule="exact"/>
        <w:rPr>
          <w:rFonts w:hint="eastAsia" w:ascii="宋体" w:hAnsi="宋体" w:eastAsia="宋体" w:cs="宋体"/>
          <w:b/>
          <w:color w:val="auto"/>
          <w:sz w:val="28"/>
          <w:szCs w:val="28"/>
          <w:highlight w:val="none"/>
          <w:u w:val="none"/>
          <w:lang w:val="en-US" w:eastAsia="zh-CN"/>
        </w:rPr>
      </w:pPr>
    </w:p>
    <w:p w14:paraId="34EE478A">
      <w:pPr>
        <w:spacing w:line="600" w:lineRule="exact"/>
        <w:rPr>
          <w:rFonts w:hint="eastAsia" w:ascii="宋体" w:hAnsi="宋体" w:eastAsia="宋体" w:cs="宋体"/>
          <w:b/>
          <w:color w:val="auto"/>
          <w:sz w:val="28"/>
          <w:szCs w:val="28"/>
          <w:highlight w:val="none"/>
          <w:u w:val="none"/>
          <w:lang w:val="en-US" w:eastAsia="zh-CN"/>
        </w:rPr>
      </w:pPr>
      <w:r>
        <w:rPr>
          <w:rFonts w:hint="eastAsia" w:ascii="宋体" w:hAnsi="宋体" w:eastAsia="宋体" w:cs="宋体"/>
          <w:b/>
          <w:color w:val="auto"/>
          <w:sz w:val="28"/>
          <w:szCs w:val="28"/>
          <w:highlight w:val="none"/>
          <w:u w:val="none"/>
          <w:lang w:val="en-US" w:eastAsia="zh-CN"/>
        </w:rPr>
        <w:t>附件2</w:t>
      </w:r>
    </w:p>
    <w:p w14:paraId="71D32B51">
      <w:pPr>
        <w:jc w:val="center"/>
        <w:rPr>
          <w:rFonts w:hint="default" w:ascii="黑体" w:hAnsi="黑体" w:eastAsia="黑体" w:cs="黑体"/>
          <w:sz w:val="36"/>
          <w:szCs w:val="36"/>
          <w:highlight w:val="none"/>
          <w:lang w:val="en-US" w:eastAsia="zh-CN"/>
        </w:rPr>
      </w:pPr>
      <w:r>
        <w:rPr>
          <w:rFonts w:hint="default" w:ascii="黑体" w:hAnsi="黑体" w:eastAsia="黑体" w:cs="黑体"/>
          <w:sz w:val="36"/>
          <w:szCs w:val="36"/>
          <w:highlight w:val="none"/>
          <w:lang w:val="en-US" w:eastAsia="zh-CN"/>
        </w:rPr>
        <w:t>工程安全文明环保施工合同</w:t>
      </w:r>
    </w:p>
    <w:p w14:paraId="511EDF4D">
      <w:pPr>
        <w:snapToGrid w:val="0"/>
        <w:spacing w:line="360" w:lineRule="auto"/>
        <w:ind w:firstLine="482" w:firstLineChars="200"/>
        <w:rPr>
          <w:rFonts w:hint="eastAsia" w:ascii="宋体" w:hAnsi="宋体" w:cs="宋体"/>
          <w:b/>
          <w:sz w:val="24"/>
          <w:szCs w:val="24"/>
          <w:highlight w:val="none"/>
        </w:rPr>
      </w:pPr>
    </w:p>
    <w:p w14:paraId="6D613D45">
      <w:pPr>
        <w:snapToGrid w:val="0"/>
        <w:spacing w:line="360" w:lineRule="auto"/>
        <w:ind w:firstLine="0" w:firstLineChars="0"/>
        <w:rPr>
          <w:rFonts w:hint="eastAsia" w:asciiTheme="minorEastAsia" w:hAnsiTheme="minorEastAsia" w:eastAsiaTheme="minorEastAsia" w:cstheme="minorEastAsia"/>
          <w:b/>
          <w:sz w:val="28"/>
          <w:szCs w:val="28"/>
          <w:highlight w:val="none"/>
          <w:u w:val="single"/>
        </w:rPr>
      </w:pPr>
      <w:r>
        <w:rPr>
          <w:rFonts w:hint="eastAsia" w:asciiTheme="minorEastAsia" w:hAnsiTheme="minorEastAsia" w:eastAsiaTheme="minorEastAsia" w:cstheme="minorEastAsia"/>
          <w:b/>
          <w:sz w:val="28"/>
          <w:szCs w:val="28"/>
          <w:highlight w:val="none"/>
          <w:lang w:eastAsia="zh-CN"/>
        </w:rPr>
        <w:t>发包人</w:t>
      </w:r>
      <w:r>
        <w:rPr>
          <w:rFonts w:hint="eastAsia" w:asciiTheme="minorEastAsia" w:hAnsiTheme="minorEastAsia" w:eastAsiaTheme="minorEastAsia" w:cstheme="minorEastAsia"/>
          <w:b/>
          <w:sz w:val="28"/>
          <w:szCs w:val="28"/>
          <w:highlight w:val="none"/>
        </w:rPr>
        <w:t>（</w:t>
      </w:r>
      <w:r>
        <w:rPr>
          <w:rFonts w:hint="eastAsia" w:asciiTheme="minorEastAsia" w:hAnsiTheme="minorEastAsia" w:eastAsiaTheme="minorEastAsia" w:cstheme="minorEastAsia"/>
          <w:b/>
          <w:sz w:val="28"/>
          <w:szCs w:val="28"/>
          <w:highlight w:val="none"/>
          <w:lang w:val="en-US" w:eastAsia="zh-CN"/>
        </w:rPr>
        <w:t>甲方</w:t>
      </w:r>
      <w:r>
        <w:rPr>
          <w:rFonts w:hint="eastAsia" w:asciiTheme="minorEastAsia" w:hAnsiTheme="minorEastAsia" w:eastAsiaTheme="minorEastAsia" w:cstheme="minorEastAsia"/>
          <w:b/>
          <w:sz w:val="28"/>
          <w:szCs w:val="28"/>
          <w:highlight w:val="none"/>
        </w:rPr>
        <w:t>）：</w:t>
      </w:r>
      <w:r>
        <w:rPr>
          <w:rFonts w:hint="eastAsia" w:asciiTheme="minorEastAsia" w:hAnsiTheme="minorEastAsia" w:eastAsiaTheme="minorEastAsia" w:cstheme="minorEastAsia"/>
          <w:sz w:val="28"/>
          <w:szCs w:val="28"/>
          <w:highlight w:val="none"/>
          <w:u w:val="single"/>
        </w:rPr>
        <w:t xml:space="preserve">四川蜀道新能源科技发展有限公司 </w:t>
      </w:r>
    </w:p>
    <w:p w14:paraId="6A43BF38">
      <w:pPr>
        <w:snapToGrid w:val="0"/>
        <w:spacing w:line="360" w:lineRule="auto"/>
        <w:ind w:firstLine="0" w:firstLineChars="0"/>
        <w:rPr>
          <w:rFonts w:hint="eastAsia" w:asciiTheme="minorEastAsia" w:hAnsiTheme="minorEastAsia" w:eastAsiaTheme="minorEastAsia" w:cstheme="minorEastAsia"/>
          <w:b/>
          <w:sz w:val="28"/>
          <w:szCs w:val="28"/>
          <w:highlight w:val="none"/>
          <w:u w:val="single"/>
        </w:rPr>
      </w:pPr>
      <w:r>
        <w:rPr>
          <w:rFonts w:hint="eastAsia" w:asciiTheme="minorEastAsia" w:hAnsiTheme="minorEastAsia" w:eastAsiaTheme="minorEastAsia" w:cstheme="minorEastAsia"/>
          <w:b/>
          <w:sz w:val="28"/>
          <w:szCs w:val="28"/>
          <w:highlight w:val="none"/>
          <w:lang w:val="en-US" w:eastAsia="zh-CN"/>
        </w:rPr>
        <w:t>承包人</w:t>
      </w:r>
      <w:r>
        <w:rPr>
          <w:rFonts w:hint="eastAsia" w:asciiTheme="minorEastAsia" w:hAnsiTheme="minorEastAsia" w:eastAsiaTheme="minorEastAsia" w:cstheme="minorEastAsia"/>
          <w:b/>
          <w:sz w:val="28"/>
          <w:szCs w:val="28"/>
          <w:highlight w:val="none"/>
        </w:rPr>
        <w:t>（乙方）：</w:t>
      </w:r>
      <w:r>
        <w:rPr>
          <w:rFonts w:hint="eastAsia" w:asciiTheme="minorEastAsia" w:hAnsiTheme="minorEastAsia" w:eastAsiaTheme="minorEastAsia" w:cstheme="minorEastAsia"/>
          <w:b/>
          <w:sz w:val="28"/>
          <w:szCs w:val="28"/>
          <w:highlight w:val="none"/>
          <w:u w:val="single"/>
          <w:lang w:val="en-US" w:eastAsia="zh-CN"/>
        </w:rPr>
        <w:t xml:space="preserve">                           </w:t>
      </w:r>
      <w:r>
        <w:rPr>
          <w:rFonts w:hint="eastAsia" w:asciiTheme="minorEastAsia" w:hAnsiTheme="minorEastAsia" w:eastAsiaTheme="minorEastAsia" w:cstheme="minorEastAsia"/>
          <w:sz w:val="28"/>
          <w:szCs w:val="28"/>
          <w:highlight w:val="none"/>
          <w:u w:val="single"/>
        </w:rPr>
        <w:t xml:space="preserve">    </w:t>
      </w:r>
    </w:p>
    <w:p w14:paraId="12B100B9">
      <w:pPr>
        <w:snapToGrid w:val="0"/>
        <w:spacing w:line="360" w:lineRule="auto"/>
        <w:ind w:firstLine="560" w:firstLineChars="200"/>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为了确保实现</w:t>
      </w:r>
      <w:r>
        <w:rPr>
          <w:rFonts w:hint="eastAsia" w:asciiTheme="minorEastAsia" w:hAnsiTheme="minorEastAsia" w:eastAsiaTheme="minorEastAsia" w:cstheme="minorEastAsia"/>
          <w:sz w:val="28"/>
          <w:szCs w:val="28"/>
          <w:highlight w:val="none"/>
          <w:u w:val="single"/>
          <w:lang w:val="en-US" w:eastAsia="zh-CN"/>
        </w:rPr>
        <w:t>淮口服务区充（换）电站高压改迁工程</w:t>
      </w:r>
      <w:r>
        <w:rPr>
          <w:rFonts w:hint="eastAsia" w:asciiTheme="minorEastAsia" w:hAnsiTheme="minorEastAsia" w:eastAsiaTheme="minorEastAsia" w:cstheme="minorEastAsia"/>
          <w:sz w:val="28"/>
          <w:szCs w:val="28"/>
          <w:highlight w:val="none"/>
        </w:rPr>
        <w:t>安全生产目标，进一步明确双方的安全管理责任，加强安全生产管理工作的协调、管理力度，</w:t>
      </w:r>
      <w:r>
        <w:rPr>
          <w:rFonts w:hint="eastAsia" w:asciiTheme="minorEastAsia" w:hAnsiTheme="minorEastAsia" w:eastAsiaTheme="minorEastAsia" w:cstheme="minorEastAsia"/>
          <w:sz w:val="28"/>
          <w:szCs w:val="28"/>
          <w:highlight w:val="none"/>
          <w:u w:val="single"/>
        </w:rPr>
        <w:t>四川蜀道新能源科技发展有限公司</w:t>
      </w:r>
      <w:r>
        <w:rPr>
          <w:rFonts w:hint="eastAsia" w:asciiTheme="minorEastAsia" w:hAnsiTheme="minorEastAsia" w:eastAsiaTheme="minorEastAsia" w:cstheme="minorEastAsia"/>
          <w:sz w:val="28"/>
          <w:szCs w:val="28"/>
          <w:highlight w:val="none"/>
        </w:rPr>
        <w:t>（以下简称“发包人”）与</w:t>
      </w:r>
      <w:r>
        <w:rPr>
          <w:rFonts w:hint="eastAsia" w:asciiTheme="minorEastAsia" w:hAnsiTheme="minorEastAsia" w:eastAsiaTheme="minorEastAsia" w:cstheme="minorEastAsia"/>
          <w:sz w:val="28"/>
          <w:szCs w:val="28"/>
          <w:highlight w:val="none"/>
          <w:u w:val="single"/>
        </w:rPr>
        <w:t xml:space="preserve"> </w:t>
      </w:r>
      <w:r>
        <w:rPr>
          <w:rFonts w:hint="eastAsia" w:asciiTheme="minorEastAsia" w:hAnsiTheme="minorEastAsia" w:eastAsiaTheme="minorEastAsia" w:cstheme="minorEastAsia"/>
          <w:sz w:val="28"/>
          <w:szCs w:val="28"/>
          <w:highlight w:val="none"/>
          <w:u w:val="single"/>
          <w:lang w:val="en-US" w:eastAsia="zh-CN"/>
        </w:rPr>
        <w:t xml:space="preserve">          </w:t>
      </w:r>
      <w:r>
        <w:rPr>
          <w:rFonts w:hint="eastAsia" w:asciiTheme="minorEastAsia" w:hAnsiTheme="minorEastAsia" w:eastAsiaTheme="minorEastAsia" w:cstheme="minorEastAsia"/>
          <w:sz w:val="28"/>
          <w:szCs w:val="28"/>
          <w:highlight w:val="none"/>
          <w:u w:val="single"/>
        </w:rPr>
        <w:t xml:space="preserve"> </w:t>
      </w:r>
      <w:r>
        <w:rPr>
          <w:rFonts w:hint="eastAsia" w:asciiTheme="minorEastAsia" w:hAnsiTheme="minorEastAsia" w:eastAsiaTheme="minorEastAsia" w:cstheme="minorEastAsia"/>
          <w:sz w:val="28"/>
          <w:szCs w:val="28"/>
          <w:highlight w:val="none"/>
        </w:rPr>
        <w:t>（以下简称“承包人”）依据国家安全生产相关的法律、法规和安全方面的强制性国家标准或行业标准，双方同意签订该协议作为</w:t>
      </w:r>
      <w:r>
        <w:rPr>
          <w:rFonts w:hint="eastAsia" w:asciiTheme="minorEastAsia" w:hAnsiTheme="minorEastAsia" w:eastAsiaTheme="minorEastAsia" w:cstheme="minorEastAsia"/>
          <w:sz w:val="28"/>
          <w:szCs w:val="28"/>
          <w:highlight w:val="none"/>
          <w:lang w:val="en-US" w:eastAsia="zh-CN"/>
        </w:rPr>
        <w:t>淮口服务区充（换）电站高压改迁工程</w:t>
      </w:r>
      <w:r>
        <w:rPr>
          <w:rFonts w:hint="eastAsia" w:asciiTheme="minorEastAsia" w:hAnsiTheme="minorEastAsia" w:eastAsiaTheme="minorEastAsia" w:cstheme="minorEastAsia"/>
          <w:b w:val="0"/>
          <w:color w:val="auto"/>
          <w:kern w:val="2"/>
          <w:sz w:val="28"/>
          <w:szCs w:val="28"/>
          <w:highlight w:val="none"/>
          <w:u w:val="none"/>
          <w:lang w:val="en-US" w:eastAsia="zh-CN"/>
        </w:rPr>
        <w:t>《</w:t>
      </w:r>
      <w:r>
        <w:rPr>
          <w:rFonts w:hint="eastAsia" w:asciiTheme="minorEastAsia" w:hAnsiTheme="minorEastAsia" w:eastAsiaTheme="minorEastAsia" w:cstheme="minorEastAsia"/>
          <w:sz w:val="28"/>
          <w:szCs w:val="28"/>
          <w:highlight w:val="none"/>
          <w:lang w:val="en-US" w:eastAsia="zh-CN"/>
        </w:rPr>
        <w:t>建设工程施工合</w:t>
      </w:r>
      <w:r>
        <w:rPr>
          <w:rStyle w:val="17"/>
          <w:rFonts w:hint="eastAsia" w:asciiTheme="minorEastAsia" w:hAnsiTheme="minorEastAsia" w:eastAsiaTheme="minorEastAsia" w:cstheme="minorEastAsia"/>
          <w:b w:val="0"/>
          <w:sz w:val="28"/>
          <w:szCs w:val="28"/>
          <w:highlight w:val="none"/>
          <w:lang w:val="en-US" w:eastAsia="zh-CN"/>
        </w:rPr>
        <w:t>同</w:t>
      </w:r>
      <w:r>
        <w:rPr>
          <w:rFonts w:hint="eastAsia" w:asciiTheme="minorEastAsia" w:hAnsiTheme="minorEastAsia" w:eastAsiaTheme="minorEastAsia" w:cstheme="minorEastAsia"/>
          <w:b w:val="0"/>
          <w:color w:val="auto"/>
          <w:kern w:val="2"/>
          <w:sz w:val="28"/>
          <w:szCs w:val="28"/>
          <w:highlight w:val="none"/>
          <w:u w:val="none"/>
          <w:lang w:eastAsia="zh-CN"/>
        </w:rPr>
        <w:t>》</w:t>
      </w:r>
      <w:r>
        <w:rPr>
          <w:rFonts w:hint="eastAsia" w:asciiTheme="minorEastAsia" w:hAnsiTheme="minorEastAsia" w:eastAsiaTheme="minorEastAsia" w:cstheme="minorEastAsia"/>
          <w:sz w:val="28"/>
          <w:szCs w:val="28"/>
          <w:highlight w:val="none"/>
        </w:rPr>
        <w:t>安全管理方面的补充规定，并承诺本协议具有与合同相同的法律效力。具体条款如下：</w:t>
      </w:r>
    </w:p>
    <w:p w14:paraId="6BE991E1">
      <w:pPr>
        <w:spacing w:line="360" w:lineRule="auto"/>
        <w:ind w:firstLine="560" w:firstLineChars="200"/>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一、协议有效期限</w:t>
      </w:r>
    </w:p>
    <w:p w14:paraId="21E89800">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本协议中所涉及的安全管理责任自合同签订之日起开始生效，至合同工程全部</w:t>
      </w:r>
      <w:r>
        <w:rPr>
          <w:rFonts w:hint="eastAsia" w:asciiTheme="minorEastAsia" w:hAnsiTheme="minorEastAsia" w:eastAsiaTheme="minorEastAsia" w:cstheme="minorEastAsia"/>
          <w:sz w:val="28"/>
          <w:szCs w:val="28"/>
          <w:highlight w:val="none"/>
          <w:lang w:val="en-US" w:eastAsia="zh-CN"/>
        </w:rPr>
        <w:t>竣工</w:t>
      </w:r>
      <w:r>
        <w:rPr>
          <w:rFonts w:hint="eastAsia" w:asciiTheme="minorEastAsia" w:hAnsiTheme="minorEastAsia" w:eastAsiaTheme="minorEastAsia" w:cstheme="minorEastAsia"/>
          <w:sz w:val="28"/>
          <w:szCs w:val="28"/>
          <w:highlight w:val="none"/>
        </w:rPr>
        <w:t>验收</w:t>
      </w:r>
      <w:r>
        <w:rPr>
          <w:rFonts w:hint="eastAsia" w:asciiTheme="minorEastAsia" w:hAnsiTheme="minorEastAsia" w:eastAsiaTheme="minorEastAsia" w:cstheme="minorEastAsia"/>
          <w:sz w:val="28"/>
          <w:szCs w:val="28"/>
          <w:highlight w:val="none"/>
          <w:lang w:val="en-US" w:eastAsia="zh-CN"/>
        </w:rPr>
        <w:t>合格</w:t>
      </w:r>
      <w:r>
        <w:rPr>
          <w:rFonts w:hint="eastAsia" w:asciiTheme="minorEastAsia" w:hAnsiTheme="minorEastAsia" w:eastAsiaTheme="minorEastAsia" w:cstheme="minorEastAsia"/>
          <w:sz w:val="28"/>
          <w:szCs w:val="28"/>
          <w:highlight w:val="none"/>
        </w:rPr>
        <w:t>且</w:t>
      </w:r>
      <w:r>
        <w:rPr>
          <w:rFonts w:hint="eastAsia" w:asciiTheme="minorEastAsia" w:hAnsiTheme="minorEastAsia" w:eastAsiaTheme="minorEastAsia" w:cstheme="minorEastAsia"/>
          <w:sz w:val="28"/>
          <w:szCs w:val="28"/>
          <w:highlight w:val="none"/>
          <w:lang w:val="en-US" w:eastAsia="zh-CN"/>
        </w:rPr>
        <w:t>工程</w:t>
      </w:r>
      <w:r>
        <w:rPr>
          <w:rFonts w:hint="eastAsia" w:asciiTheme="minorEastAsia" w:hAnsiTheme="minorEastAsia" w:eastAsiaTheme="minorEastAsia" w:cstheme="minorEastAsia"/>
          <w:sz w:val="28"/>
          <w:szCs w:val="28"/>
          <w:highlight w:val="none"/>
        </w:rPr>
        <w:t>移交之日终止。</w:t>
      </w:r>
    </w:p>
    <w:p w14:paraId="152F0DBC">
      <w:pPr>
        <w:spacing w:line="360" w:lineRule="auto"/>
        <w:ind w:firstLine="560" w:firstLineChars="200"/>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二、责任目标</w:t>
      </w:r>
    </w:p>
    <w:p w14:paraId="3A38E5AB">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（一）承包人承诺承担和履行合同</w:t>
      </w:r>
      <w:r>
        <w:rPr>
          <w:rFonts w:hint="eastAsia" w:asciiTheme="minorEastAsia" w:hAnsiTheme="minorEastAsia" w:eastAsiaTheme="minorEastAsia" w:cstheme="minorEastAsia"/>
          <w:sz w:val="28"/>
          <w:szCs w:val="28"/>
          <w:highlight w:val="none"/>
          <w:lang w:val="en-US" w:eastAsia="zh-CN"/>
        </w:rPr>
        <w:t>约</w:t>
      </w:r>
      <w:r>
        <w:rPr>
          <w:rFonts w:hint="eastAsia" w:asciiTheme="minorEastAsia" w:hAnsiTheme="minorEastAsia" w:eastAsiaTheme="minorEastAsia" w:cstheme="minorEastAsia"/>
          <w:sz w:val="28"/>
          <w:szCs w:val="28"/>
          <w:highlight w:val="none"/>
        </w:rPr>
        <w:t>定的安全责任，且满足要求。</w:t>
      </w:r>
    </w:p>
    <w:p w14:paraId="0FFE1BD1">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（二）承包人的安全控制目标是确保本工程在实施过程中：</w:t>
      </w:r>
    </w:p>
    <w:p w14:paraId="5E9828A5">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不发生人身重伤</w:t>
      </w:r>
      <w:r>
        <w:rPr>
          <w:rFonts w:hint="eastAsia" w:asciiTheme="minorEastAsia" w:hAnsiTheme="minorEastAsia" w:eastAsiaTheme="minorEastAsia" w:cstheme="minorEastAsia"/>
          <w:sz w:val="28"/>
          <w:szCs w:val="28"/>
          <w:highlight w:val="none"/>
          <w:lang w:val="en-US" w:eastAsia="zh-CN"/>
        </w:rPr>
        <w:t>及以上</w:t>
      </w:r>
      <w:r>
        <w:rPr>
          <w:rFonts w:hint="eastAsia" w:asciiTheme="minorEastAsia" w:hAnsiTheme="minorEastAsia" w:eastAsiaTheme="minorEastAsia" w:cstheme="minorEastAsia"/>
          <w:sz w:val="28"/>
          <w:szCs w:val="28"/>
          <w:highlight w:val="none"/>
        </w:rPr>
        <w:t>事故；</w:t>
      </w:r>
    </w:p>
    <w:p w14:paraId="4E23C3C2">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2</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不发生火灾</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物体打击、触电、机械伤害、高处坠落、起重伤害</w:t>
      </w:r>
      <w:r>
        <w:rPr>
          <w:rFonts w:hint="eastAsia" w:asciiTheme="minorEastAsia" w:hAnsiTheme="minorEastAsia" w:eastAsiaTheme="minorEastAsia" w:cstheme="minorEastAsia"/>
          <w:kern w:val="2"/>
          <w:sz w:val="28"/>
          <w:szCs w:val="28"/>
          <w:highlight w:val="none"/>
          <w:lang w:val="en-US" w:eastAsia="zh-CN" w:bidi="ar"/>
        </w:rPr>
        <w:t>等责任事故</w:t>
      </w:r>
      <w:r>
        <w:rPr>
          <w:rFonts w:hint="eastAsia" w:asciiTheme="minorEastAsia" w:hAnsiTheme="minorEastAsia" w:eastAsiaTheme="minorEastAsia" w:cstheme="minorEastAsia"/>
          <w:sz w:val="28"/>
          <w:szCs w:val="28"/>
          <w:highlight w:val="none"/>
        </w:rPr>
        <w:t>；</w:t>
      </w:r>
    </w:p>
    <w:p w14:paraId="61426404">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3</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不发生</w:t>
      </w:r>
      <w:r>
        <w:rPr>
          <w:rFonts w:hint="eastAsia" w:asciiTheme="minorEastAsia" w:hAnsiTheme="minorEastAsia" w:eastAsiaTheme="minorEastAsia" w:cstheme="minorEastAsia"/>
          <w:sz w:val="28"/>
          <w:szCs w:val="28"/>
          <w:highlight w:val="none"/>
          <w:lang w:val="en-US" w:eastAsia="zh-CN"/>
        </w:rPr>
        <w:t>自身负有主要责任的造成人员重伤或死亡的交通事故</w:t>
      </w:r>
      <w:r>
        <w:rPr>
          <w:rFonts w:hint="eastAsia" w:asciiTheme="minorEastAsia" w:hAnsiTheme="minorEastAsia" w:eastAsiaTheme="minorEastAsia" w:cstheme="minorEastAsia"/>
          <w:sz w:val="28"/>
          <w:szCs w:val="28"/>
          <w:highlight w:val="none"/>
        </w:rPr>
        <w:t>；</w:t>
      </w:r>
    </w:p>
    <w:p w14:paraId="7CE5C84F">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4</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不发生集体食物中毒事件（同时5人及以上的食物中毒）；</w:t>
      </w:r>
    </w:p>
    <w:p w14:paraId="0E83CAAB">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5</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不发生流行性传染病 （无甲型传染病、其他常见传染病未形成多人同时患病）；</w:t>
      </w:r>
    </w:p>
    <w:p w14:paraId="04198D79">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6</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不发生重大环境污染事件（生活、工业垃圾及其他污染物造成环境污染和大面积水土流失）；</w:t>
      </w:r>
    </w:p>
    <w:p w14:paraId="1E365A3D">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7</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不发生对施工区附近生产、生活造成重大影响的事件（如造成重大设备损坏、重大财产损失、人员伤害等）；</w:t>
      </w:r>
    </w:p>
    <w:p w14:paraId="4C068466">
      <w:pPr>
        <w:spacing w:line="360" w:lineRule="auto"/>
        <w:ind w:firstLine="560" w:firstLineChars="200"/>
        <w:jc w:val="left"/>
        <w:rPr>
          <w:rFonts w:hint="eastAsia" w:asciiTheme="minorEastAsia" w:hAnsiTheme="minorEastAsia" w:eastAsiaTheme="minorEastAsia" w:cstheme="minorEastAsia"/>
          <w:sz w:val="28"/>
          <w:szCs w:val="28"/>
          <w:highlight w:val="none"/>
          <w:lang w:eastAsia="zh-CN"/>
        </w:rPr>
      </w:pPr>
      <w:r>
        <w:rPr>
          <w:rFonts w:hint="eastAsia" w:asciiTheme="minorEastAsia" w:hAnsiTheme="minorEastAsia" w:eastAsiaTheme="minorEastAsia" w:cstheme="minorEastAsia"/>
          <w:sz w:val="28"/>
          <w:szCs w:val="28"/>
          <w:highlight w:val="none"/>
        </w:rPr>
        <w:t>8</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不发生治安保卫事件（构成刑事拘留及以上的事件、盗窃直接损失超过1万元人民币的事件）</w:t>
      </w:r>
      <w:r>
        <w:rPr>
          <w:rFonts w:hint="eastAsia" w:asciiTheme="minorEastAsia" w:hAnsiTheme="minorEastAsia" w:eastAsiaTheme="minorEastAsia" w:cstheme="minorEastAsia"/>
          <w:sz w:val="28"/>
          <w:szCs w:val="28"/>
          <w:highlight w:val="none"/>
          <w:lang w:eastAsia="zh-CN"/>
        </w:rPr>
        <w:t>；</w:t>
      </w:r>
    </w:p>
    <w:p w14:paraId="6361595B">
      <w:pPr>
        <w:keepNext w:val="0"/>
        <w:keepLines w:val="0"/>
        <w:widowControl/>
        <w:suppressLineNumbers w:val="0"/>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9.</w:t>
      </w:r>
      <w:r>
        <w:rPr>
          <w:rFonts w:hint="eastAsia" w:asciiTheme="minorEastAsia" w:hAnsiTheme="minorEastAsia" w:eastAsiaTheme="minorEastAsia" w:cstheme="minorEastAsia"/>
          <w:kern w:val="2"/>
          <w:sz w:val="28"/>
          <w:szCs w:val="28"/>
          <w:highlight w:val="none"/>
          <w:lang w:val="en-US" w:eastAsia="zh-CN" w:bidi="ar"/>
        </w:rPr>
        <w:t>不发生因违反政府相关规定的，被政府相关管理机构勒令停工事件。</w:t>
      </w:r>
    </w:p>
    <w:p w14:paraId="3FC9DB2D">
      <w:pPr>
        <w:spacing w:line="360" w:lineRule="auto"/>
        <w:ind w:firstLine="560" w:firstLineChars="200"/>
        <w:jc w:val="both"/>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（三）承包人承诺在施工中控制以下安全事故的发生：</w:t>
      </w:r>
    </w:p>
    <w:p w14:paraId="455A812D">
      <w:pPr>
        <w:spacing w:line="360" w:lineRule="auto"/>
        <w:ind w:firstLine="560" w:firstLineChars="200"/>
        <w:jc w:val="both"/>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人员轻伤事故。</w:t>
      </w:r>
    </w:p>
    <w:p w14:paraId="74769DC4">
      <w:pPr>
        <w:spacing w:line="360" w:lineRule="auto"/>
        <w:ind w:firstLine="560" w:firstLineChars="200"/>
        <w:jc w:val="both"/>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2</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负有同等及以上事故责任的人身轻伤交通事故。</w:t>
      </w:r>
    </w:p>
    <w:p w14:paraId="5A6A0A06">
      <w:pPr>
        <w:spacing w:line="360" w:lineRule="auto"/>
        <w:ind w:firstLine="560" w:firstLineChars="200"/>
        <w:jc w:val="both"/>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3</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其他安全未遂事故和异常事件。</w:t>
      </w:r>
    </w:p>
    <w:p w14:paraId="23EBD14A">
      <w:pPr>
        <w:spacing w:line="360" w:lineRule="auto"/>
        <w:ind w:firstLine="560" w:firstLineChars="200"/>
        <w:jc w:val="both"/>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三、安全责任</w:t>
      </w:r>
    </w:p>
    <w:p w14:paraId="745CC15E">
      <w:pPr>
        <w:keepNext w:val="0"/>
        <w:keepLines w:val="0"/>
        <w:widowControl/>
        <w:suppressLineNumbers w:val="0"/>
        <w:spacing w:line="360" w:lineRule="auto"/>
        <w:ind w:firstLine="560" w:firstLineChars="200"/>
        <w:jc w:val="both"/>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kern w:val="2"/>
          <w:sz w:val="28"/>
          <w:szCs w:val="28"/>
          <w:highlight w:val="none"/>
          <w:lang w:val="en-US" w:eastAsia="zh-CN" w:bidi="ar"/>
        </w:rPr>
        <w:t>1.承包人应严格遵守国家法律、法规、国务院部门规章。严格执行国家标准、行业标准中的有关部分。包括但不限于以下有关文件要求：</w:t>
      </w:r>
      <w:r>
        <w:rPr>
          <w:rFonts w:hint="eastAsia" w:asciiTheme="minorEastAsia" w:hAnsiTheme="minorEastAsia" w:eastAsiaTheme="minorEastAsia" w:cstheme="minorEastAsia"/>
          <w:sz w:val="28"/>
          <w:szCs w:val="28"/>
          <w:highlight w:val="none"/>
        </w:rPr>
        <w:t>《建设工程施工现场消防安全技术规范GB 50720》</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图形符号安全色和安全标志 第5部分：安全标志使用原则与要求GB/T 2893.5-2020</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《个体防护装备配备规范 GB 39800》《建设工程施工现场供用电安全规范 GB 50194》《施工脚手架通用规范GB 55023》《焊接与切割安全 GB 9448》《手持式电动工具的管理、使用、检查和 维修安全技术规程 GB/T 3787》</w:t>
      </w:r>
      <w:r>
        <w:rPr>
          <w:rFonts w:hint="eastAsia" w:asciiTheme="minorEastAsia" w:hAnsiTheme="minorEastAsia" w:eastAsiaTheme="minorEastAsia" w:cstheme="minorEastAsia"/>
          <w:i w:val="0"/>
          <w:iCs w:val="0"/>
          <w:caps w:val="0"/>
          <w:spacing w:val="0"/>
          <w:sz w:val="28"/>
          <w:szCs w:val="28"/>
          <w:highlight w:val="none"/>
          <w:shd w:val="clear"/>
        </w:rPr>
        <w:t>《建筑与市政工程施工现场临时用电安全技术标准JGJ/T46-2024》</w:t>
      </w:r>
      <w:r>
        <w:rPr>
          <w:rFonts w:hint="eastAsia" w:asciiTheme="minorEastAsia" w:hAnsiTheme="minorEastAsia" w:eastAsiaTheme="minorEastAsia" w:cstheme="minorEastAsia"/>
          <w:sz w:val="28"/>
          <w:szCs w:val="28"/>
          <w:highlight w:val="none"/>
        </w:rPr>
        <w:t xml:space="preserve"> 《建筑施工起重吊装工程安全技术规范JGJ 276》《建筑机械使用安全技术规程JGJ 33》《建筑施工高处作业安全技术规范JGJ 80》《建</w:t>
      </w:r>
      <w:r>
        <w:rPr>
          <w:rFonts w:hint="eastAsia" w:asciiTheme="minorEastAsia" w:hAnsiTheme="minorEastAsia" w:eastAsiaTheme="minorEastAsia" w:cstheme="minorEastAsia"/>
          <w:sz w:val="28"/>
          <w:szCs w:val="28"/>
          <w:highlight w:val="none"/>
          <w:lang w:val="en-US" w:eastAsia="zh-CN"/>
        </w:rPr>
        <w:t>设</w:t>
      </w:r>
      <w:r>
        <w:rPr>
          <w:rFonts w:hint="eastAsia" w:asciiTheme="minorEastAsia" w:hAnsiTheme="minorEastAsia" w:eastAsiaTheme="minorEastAsia" w:cstheme="minorEastAsia"/>
          <w:sz w:val="28"/>
          <w:szCs w:val="28"/>
          <w:highlight w:val="none"/>
        </w:rPr>
        <w:t>工程施工现场环境</w:t>
      </w:r>
      <w:r>
        <w:rPr>
          <w:rFonts w:hint="eastAsia" w:asciiTheme="minorEastAsia" w:hAnsiTheme="minorEastAsia" w:eastAsiaTheme="minorEastAsia" w:cstheme="minorEastAsia"/>
          <w:sz w:val="28"/>
          <w:szCs w:val="28"/>
          <w:highlight w:val="none"/>
          <w:lang w:val="en-US" w:eastAsia="zh-CN"/>
        </w:rPr>
        <w:t>与</w:t>
      </w:r>
      <w:r>
        <w:rPr>
          <w:rFonts w:hint="eastAsia" w:asciiTheme="minorEastAsia" w:hAnsiTheme="minorEastAsia" w:eastAsiaTheme="minorEastAsia" w:cstheme="minorEastAsia"/>
          <w:sz w:val="28"/>
          <w:szCs w:val="28"/>
          <w:highlight w:val="none"/>
        </w:rPr>
        <w:t>卫生标准JGJ 146》《建筑施工土石方工程安全技术规范JGJ 180》《建筑施工安全检查标准JGJ 59》《电力建设安全工作规程 第3部分：变电站 DL 5009.3》《</w:t>
      </w:r>
      <w:r>
        <w:rPr>
          <w:rStyle w:val="17"/>
          <w:rFonts w:hint="eastAsia" w:asciiTheme="minorEastAsia" w:hAnsiTheme="minorEastAsia" w:eastAsiaTheme="minorEastAsia" w:cstheme="minorEastAsia"/>
          <w:i w:val="0"/>
          <w:iCs w:val="0"/>
          <w:caps w:val="0"/>
          <w:color w:val="333333"/>
          <w:spacing w:val="0"/>
          <w:sz w:val="28"/>
          <w:szCs w:val="28"/>
          <w:highlight w:val="none"/>
          <w:shd w:val="clear" w:fill="FFFFFF"/>
        </w:rPr>
        <w:t>电力安全工作规程</w:t>
      </w:r>
      <w:r>
        <w:rPr>
          <w:rFonts w:hint="eastAsia" w:asciiTheme="minorEastAsia" w:hAnsiTheme="minorEastAsia" w:eastAsiaTheme="minorEastAsia" w:cstheme="minorEastAsia"/>
          <w:sz w:val="28"/>
          <w:szCs w:val="28"/>
          <w:highlight w:val="none"/>
        </w:rPr>
        <w:t>DL</w:t>
      </w:r>
      <w:r>
        <w:rPr>
          <w:rFonts w:hint="eastAsia" w:asciiTheme="minorEastAsia" w:hAnsiTheme="minorEastAsia" w:eastAsiaTheme="minorEastAsia" w:cstheme="minorEastAsia"/>
          <w:sz w:val="28"/>
          <w:szCs w:val="28"/>
          <w:highlight w:val="none"/>
          <w:lang w:val="en-US" w:eastAsia="zh-CN"/>
        </w:rPr>
        <w:t xml:space="preserve">/T </w:t>
      </w:r>
      <w:r>
        <w:rPr>
          <w:rFonts w:hint="eastAsia" w:asciiTheme="minorEastAsia" w:hAnsiTheme="minorEastAsia" w:eastAsiaTheme="minorEastAsia" w:cstheme="minorEastAsia"/>
          <w:sz w:val="28"/>
          <w:szCs w:val="28"/>
          <w:highlight w:val="none"/>
        </w:rPr>
        <w:t>40</w:t>
      </w:r>
      <w:r>
        <w:rPr>
          <w:rFonts w:hint="eastAsia" w:asciiTheme="minorEastAsia" w:hAnsiTheme="minorEastAsia" w:eastAsiaTheme="minorEastAsia" w:cstheme="minorEastAsia"/>
          <w:sz w:val="28"/>
          <w:szCs w:val="28"/>
          <w:highlight w:val="none"/>
          <w:lang w:val="en-US" w:eastAsia="zh-CN"/>
        </w:rPr>
        <w:t>9-2023</w:t>
      </w:r>
      <w:r>
        <w:rPr>
          <w:rFonts w:hint="eastAsia" w:asciiTheme="minorEastAsia" w:hAnsiTheme="minorEastAsia" w:eastAsiaTheme="minorEastAsia" w:cstheme="minorEastAsia"/>
          <w:sz w:val="28"/>
          <w:szCs w:val="28"/>
          <w:highlight w:val="none"/>
        </w:rPr>
        <w:t>》</w:t>
      </w:r>
      <w:r>
        <w:rPr>
          <w:rFonts w:hint="eastAsia" w:asciiTheme="minorEastAsia" w:hAnsiTheme="minorEastAsia" w:eastAsiaTheme="minorEastAsia" w:cstheme="minorEastAsia"/>
          <w:sz w:val="28"/>
          <w:szCs w:val="28"/>
          <w:highlight w:val="none"/>
          <w:lang w:eastAsia="zh-CN"/>
        </w:rPr>
        <w:t>。</w:t>
      </w:r>
    </w:p>
    <w:p w14:paraId="06A20960">
      <w:pPr>
        <w:spacing w:line="360" w:lineRule="auto"/>
        <w:ind w:firstLine="560" w:firstLineChars="200"/>
        <w:jc w:val="both"/>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2.</w:t>
      </w:r>
      <w:r>
        <w:rPr>
          <w:rFonts w:hint="eastAsia" w:asciiTheme="minorEastAsia" w:hAnsiTheme="minorEastAsia" w:eastAsiaTheme="minorEastAsia" w:cstheme="minorEastAsia"/>
          <w:sz w:val="28"/>
          <w:szCs w:val="28"/>
          <w:highlight w:val="none"/>
          <w:lang w:eastAsia="zh-CN"/>
        </w:rPr>
        <w:t>乙方</w:t>
      </w:r>
      <w:r>
        <w:rPr>
          <w:rFonts w:hint="eastAsia" w:asciiTheme="minorEastAsia" w:hAnsiTheme="minorEastAsia" w:eastAsiaTheme="minorEastAsia" w:cstheme="minorEastAsia"/>
          <w:sz w:val="28"/>
          <w:szCs w:val="28"/>
          <w:highlight w:val="none"/>
        </w:rPr>
        <w:t>负有安全生产的管理责任和直接责任。</w:t>
      </w:r>
    </w:p>
    <w:p w14:paraId="1A52E989">
      <w:pPr>
        <w:spacing w:line="360" w:lineRule="auto"/>
        <w:ind w:firstLine="560" w:firstLineChars="200"/>
        <w:jc w:val="both"/>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3.</w:t>
      </w:r>
      <w:r>
        <w:rPr>
          <w:rFonts w:hint="eastAsia" w:asciiTheme="minorEastAsia" w:hAnsiTheme="minorEastAsia" w:eastAsiaTheme="minorEastAsia" w:cstheme="minorEastAsia"/>
          <w:sz w:val="28"/>
          <w:szCs w:val="28"/>
          <w:highlight w:val="none"/>
          <w:lang w:eastAsia="zh-CN"/>
        </w:rPr>
        <w:t>乙方</w:t>
      </w:r>
      <w:r>
        <w:rPr>
          <w:rFonts w:hint="eastAsia" w:asciiTheme="minorEastAsia" w:hAnsiTheme="minorEastAsia" w:eastAsiaTheme="minorEastAsia" w:cstheme="minorEastAsia"/>
          <w:sz w:val="28"/>
          <w:szCs w:val="28"/>
          <w:highlight w:val="none"/>
        </w:rPr>
        <w:t>的法人或签署合同的公司总经理或受委托的代理人对合同安全负有全面的领导责任。</w:t>
      </w:r>
    </w:p>
    <w:p w14:paraId="4836C564">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4.</w:t>
      </w:r>
      <w:r>
        <w:rPr>
          <w:rFonts w:hint="eastAsia" w:asciiTheme="minorEastAsia" w:hAnsiTheme="minorEastAsia" w:eastAsiaTheme="minorEastAsia" w:cstheme="minorEastAsia"/>
          <w:sz w:val="28"/>
          <w:szCs w:val="28"/>
          <w:highlight w:val="none"/>
        </w:rPr>
        <w:t>承包人项目经理对施工现场的安全工作负有全面的直接领导责任。</w:t>
      </w:r>
    </w:p>
    <w:p w14:paraId="0A984075">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5.</w:t>
      </w:r>
      <w:r>
        <w:rPr>
          <w:rFonts w:hint="eastAsia" w:asciiTheme="minorEastAsia" w:hAnsiTheme="minorEastAsia" w:eastAsiaTheme="minorEastAsia" w:cstheme="minorEastAsia"/>
          <w:sz w:val="28"/>
          <w:szCs w:val="28"/>
          <w:highlight w:val="none"/>
        </w:rPr>
        <w:t>承包人保证执行“谁施工、谁负责”的施工安全原则。</w:t>
      </w:r>
    </w:p>
    <w:p w14:paraId="55DE8186">
      <w:pPr>
        <w:keepNext w:val="0"/>
        <w:keepLines w:val="0"/>
        <w:widowControl/>
        <w:suppressLineNumbers w:val="0"/>
        <w:spacing w:line="360" w:lineRule="auto"/>
        <w:ind w:firstLine="560" w:firstLineChars="200"/>
        <w:jc w:val="left"/>
        <w:rPr>
          <w:rFonts w:hint="eastAsia" w:asciiTheme="minorEastAsia" w:hAnsiTheme="minorEastAsia" w:eastAsiaTheme="minorEastAsia" w:cstheme="minorEastAsia"/>
          <w:sz w:val="28"/>
          <w:szCs w:val="28"/>
          <w:highlight w:val="none"/>
          <w:lang w:bidi="ar"/>
        </w:rPr>
      </w:pPr>
      <w:r>
        <w:rPr>
          <w:rFonts w:hint="eastAsia" w:asciiTheme="minorEastAsia" w:hAnsiTheme="minorEastAsia" w:eastAsiaTheme="minorEastAsia" w:cstheme="minorEastAsia"/>
          <w:sz w:val="28"/>
          <w:szCs w:val="28"/>
          <w:highlight w:val="none"/>
          <w:lang w:val="en-US" w:eastAsia="zh-CN"/>
        </w:rPr>
        <w:t>6.</w:t>
      </w:r>
      <w:r>
        <w:rPr>
          <w:rFonts w:hint="eastAsia" w:asciiTheme="minorEastAsia" w:hAnsiTheme="minorEastAsia" w:eastAsiaTheme="minorEastAsia" w:cstheme="minorEastAsia"/>
          <w:sz w:val="28"/>
          <w:szCs w:val="28"/>
          <w:highlight w:val="none"/>
        </w:rPr>
        <w:t>承包人保证服从发包人对安全工作的统一协调和管理</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kern w:val="2"/>
          <w:sz w:val="28"/>
          <w:szCs w:val="28"/>
          <w:highlight w:val="none"/>
          <w:lang w:val="en-US" w:eastAsia="zh-CN" w:bidi="ar"/>
        </w:rPr>
        <w:t>发包人有权对承包人进行安全检查，检查中发现</w:t>
      </w:r>
      <w:r>
        <w:rPr>
          <w:rFonts w:hint="eastAsia" w:asciiTheme="minorEastAsia" w:hAnsiTheme="minorEastAsia" w:eastAsiaTheme="minorEastAsia" w:cstheme="minorEastAsia"/>
          <w:sz w:val="28"/>
          <w:szCs w:val="28"/>
          <w:highlight w:val="none"/>
        </w:rPr>
        <w:t>承包人</w:t>
      </w:r>
      <w:r>
        <w:rPr>
          <w:rFonts w:hint="eastAsia" w:asciiTheme="minorEastAsia" w:hAnsiTheme="minorEastAsia" w:eastAsiaTheme="minorEastAsia" w:cstheme="minorEastAsia"/>
          <w:kern w:val="2"/>
          <w:sz w:val="28"/>
          <w:szCs w:val="28"/>
          <w:highlight w:val="none"/>
          <w:lang w:val="en-US" w:eastAsia="zh-CN" w:bidi="ar"/>
        </w:rPr>
        <w:t>施工项目存在安全隐患、违章违纪行为、其他违反法律法规国标行标的行为或违反合同规定的问题的，有权要求</w:t>
      </w:r>
      <w:r>
        <w:rPr>
          <w:rFonts w:hint="eastAsia" w:asciiTheme="minorEastAsia" w:hAnsiTheme="minorEastAsia" w:eastAsiaTheme="minorEastAsia" w:cstheme="minorEastAsia"/>
          <w:sz w:val="28"/>
          <w:szCs w:val="28"/>
          <w:highlight w:val="none"/>
        </w:rPr>
        <w:t>承包人</w:t>
      </w:r>
      <w:r>
        <w:rPr>
          <w:rFonts w:hint="eastAsia" w:asciiTheme="minorEastAsia" w:hAnsiTheme="minorEastAsia" w:eastAsiaTheme="minorEastAsia" w:cstheme="minorEastAsia"/>
          <w:kern w:val="2"/>
          <w:sz w:val="28"/>
          <w:szCs w:val="28"/>
          <w:highlight w:val="none"/>
          <w:lang w:val="en-US" w:eastAsia="zh-CN" w:bidi="ar"/>
        </w:rPr>
        <w:t>立即整改，有权采取警告批评或按合同规定进行处罚。施工单位无法立即整改，因整改造成工程延期的，延期损失由施工单位承担。拒不整改或屡纠不改的。发包方有权责令施工单位停工整改，因此原因停工造成一切损失和后果由承包人负责。同时，每停工整改一天，承包人需按5000元/天向发包人支付违约金。</w:t>
      </w:r>
    </w:p>
    <w:p w14:paraId="24B0F7D6">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7.</w:t>
      </w:r>
      <w:r>
        <w:rPr>
          <w:rFonts w:hint="eastAsia" w:asciiTheme="minorEastAsia" w:hAnsiTheme="minorEastAsia" w:eastAsiaTheme="minorEastAsia" w:cstheme="minorEastAsia"/>
          <w:sz w:val="28"/>
          <w:szCs w:val="28"/>
          <w:highlight w:val="none"/>
        </w:rPr>
        <w:t>承包人保证对本工程项目安全生产条件及其管理资源自行投入，保证安全资金的专款专用。</w:t>
      </w:r>
    </w:p>
    <w:p w14:paraId="21FD53F4">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8.</w:t>
      </w:r>
      <w:r>
        <w:rPr>
          <w:rFonts w:hint="eastAsia" w:asciiTheme="minorEastAsia" w:hAnsiTheme="minorEastAsia" w:eastAsiaTheme="minorEastAsia" w:cstheme="minorEastAsia"/>
          <w:sz w:val="28"/>
          <w:szCs w:val="28"/>
          <w:highlight w:val="none"/>
        </w:rPr>
        <w:t>承包人保证建立本工程项目的安全管理体系及安全保证体系（注：项目安全管理大纲/手册、管理性的程序文件等）。</w:t>
      </w:r>
    </w:p>
    <w:p w14:paraId="52AFD16D">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9.</w:t>
      </w:r>
      <w:r>
        <w:rPr>
          <w:rFonts w:hint="eastAsia" w:asciiTheme="minorEastAsia" w:hAnsiTheme="minorEastAsia" w:eastAsiaTheme="minorEastAsia" w:cstheme="minorEastAsia"/>
          <w:sz w:val="28"/>
          <w:szCs w:val="28"/>
          <w:highlight w:val="none"/>
        </w:rPr>
        <w:t>承包人保证按照国家法律规定为现场所有工作人员（含分包商员工及劳务人员）购买意外伤害保险。</w:t>
      </w:r>
    </w:p>
    <w:p w14:paraId="71FD45C1">
      <w:pPr>
        <w:spacing w:line="360" w:lineRule="auto"/>
        <w:ind w:firstLine="560" w:firstLineChars="200"/>
        <w:jc w:val="left"/>
        <w:rPr>
          <w:rFonts w:hint="default" w:asciiTheme="minorEastAsia" w:hAnsiTheme="minorEastAsia" w:eastAsiaTheme="minorEastAsia" w:cstheme="minorEastAsia"/>
          <w:sz w:val="28"/>
          <w:szCs w:val="28"/>
          <w:highlight w:val="none"/>
          <w:lang w:val="en-US"/>
        </w:rPr>
      </w:pPr>
      <w:r>
        <w:rPr>
          <w:rFonts w:hint="eastAsia" w:asciiTheme="minorEastAsia" w:hAnsiTheme="minorEastAsia" w:eastAsiaTheme="minorEastAsia" w:cstheme="minorEastAsia"/>
          <w:sz w:val="28"/>
          <w:szCs w:val="28"/>
          <w:highlight w:val="none"/>
          <w:lang w:val="en-US" w:eastAsia="zh-CN"/>
        </w:rPr>
        <w:t>10.</w:t>
      </w:r>
      <w:r>
        <w:rPr>
          <w:rFonts w:hint="eastAsia" w:asciiTheme="minorEastAsia" w:hAnsiTheme="minorEastAsia" w:eastAsiaTheme="minorEastAsia" w:cstheme="minorEastAsia"/>
          <w:sz w:val="28"/>
          <w:szCs w:val="28"/>
          <w:highlight w:val="none"/>
        </w:rPr>
        <w:t>承包人保证施工生活营地（包括自建的和租用的营地）满足消防、安全用电、卫生防疫、防暴雨、防雷击等方面的安全要求。</w:t>
      </w:r>
      <w:r>
        <w:rPr>
          <w:rFonts w:hint="eastAsia" w:asciiTheme="minorEastAsia" w:hAnsiTheme="minorEastAsia" w:eastAsiaTheme="minorEastAsia" w:cstheme="minorEastAsia"/>
          <w:sz w:val="28"/>
          <w:szCs w:val="28"/>
          <w:highlight w:val="none"/>
          <w:lang w:val="en-US" w:eastAsia="zh-CN"/>
        </w:rPr>
        <w:t>同时须满足11.3.4条款之要求。</w:t>
      </w:r>
    </w:p>
    <w:p w14:paraId="26A88AF8">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1.</w:t>
      </w:r>
      <w:r>
        <w:rPr>
          <w:rFonts w:hint="eastAsia" w:asciiTheme="minorEastAsia" w:hAnsiTheme="minorEastAsia" w:eastAsiaTheme="minorEastAsia" w:cstheme="minorEastAsia"/>
          <w:sz w:val="28"/>
          <w:szCs w:val="28"/>
          <w:highlight w:val="none"/>
        </w:rPr>
        <w:t>承包人保证对带入现场的设备、工具、材料按照国家法规和标准进行检测、试验，并持有法定部门出具的检验证书。</w:t>
      </w:r>
    </w:p>
    <w:p w14:paraId="1C62E34D">
      <w:pPr>
        <w:widowControl/>
        <w:spacing w:line="360" w:lineRule="auto"/>
        <w:ind w:firstLine="560" w:firstLineChars="200"/>
        <w:jc w:val="left"/>
        <w:rPr>
          <w:rFonts w:hint="eastAsia" w:asciiTheme="minorEastAsia" w:hAnsiTheme="minorEastAsia" w:eastAsiaTheme="minorEastAsia" w:cstheme="minorEastAsia"/>
          <w:kern w:val="2"/>
          <w:sz w:val="28"/>
          <w:szCs w:val="28"/>
          <w:highlight w:val="none"/>
          <w:lang w:val="en-US" w:eastAsia="zh-CN" w:bidi="ar"/>
        </w:rPr>
      </w:pPr>
      <w:r>
        <w:rPr>
          <w:rFonts w:hint="eastAsia" w:asciiTheme="minorEastAsia" w:hAnsiTheme="minorEastAsia" w:eastAsiaTheme="minorEastAsia" w:cstheme="minorEastAsia"/>
          <w:kern w:val="2"/>
          <w:sz w:val="28"/>
          <w:szCs w:val="28"/>
          <w:highlight w:val="none"/>
          <w:lang w:val="en-US" w:eastAsia="zh-CN" w:bidi="ar"/>
        </w:rPr>
        <w:t>12.承包人进行电力施工作业时，必须确保施工安全，未经许可不开工，安全措施不落实不开工。在全部停电和部分停电的电气设备上工作，必须按规定做好停电、验电、挂接地线、装设遮拦和悬挂标示牌等保证安全的技术措施，必须设置监护人。停电施工完毕后，必须对现场进行全面的检查，确定施工人员已全部撤离，无任何遗留物件后，拆除所有的临时接地线。</w:t>
      </w:r>
    </w:p>
    <w:p w14:paraId="24427E0D">
      <w:pPr>
        <w:keepNext w:val="0"/>
        <w:keepLines w:val="0"/>
        <w:widowControl/>
        <w:suppressLineNumbers w:val="0"/>
        <w:spacing w:line="360" w:lineRule="auto"/>
        <w:ind w:firstLine="560" w:firstLineChars="200"/>
        <w:jc w:val="left"/>
        <w:rPr>
          <w:rFonts w:hint="eastAsia" w:asciiTheme="minorEastAsia" w:hAnsiTheme="minorEastAsia" w:eastAsiaTheme="minorEastAsia" w:cstheme="minorEastAsia"/>
          <w:sz w:val="28"/>
          <w:szCs w:val="28"/>
          <w:highlight w:val="none"/>
          <w:lang w:bidi="ar"/>
        </w:rPr>
      </w:pPr>
      <w:r>
        <w:rPr>
          <w:rFonts w:hint="eastAsia" w:asciiTheme="minorEastAsia" w:hAnsiTheme="minorEastAsia" w:eastAsiaTheme="minorEastAsia" w:cstheme="minorEastAsia"/>
          <w:kern w:val="2"/>
          <w:sz w:val="28"/>
          <w:szCs w:val="28"/>
          <w:highlight w:val="none"/>
          <w:lang w:val="en-US" w:eastAsia="zh-CN" w:bidi="ar"/>
        </w:rPr>
        <w:t xml:space="preserve">13.承包人应按工程进展情况做好季节性施工的各项安全保证措施，夏季要切实做好防暑降温、防暴雨、防地灾等安全防护工作，秋冬季节要做好防火、防暴雪等安全防护工作。 </w:t>
      </w:r>
    </w:p>
    <w:p w14:paraId="725312DE">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四、接口及协调</w:t>
      </w:r>
    </w:p>
    <w:p w14:paraId="55C8119F">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发包人委托监理公司对该工程实施监理，监理公司在安全管理方面代表发包人行使监督检查职能，承包人必须给予配合和支持。</w:t>
      </w:r>
    </w:p>
    <w:p w14:paraId="0FBB01EB">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2</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承包人人员、车辆的出入，带入现场的设备、机具、材料，在现场使用的或直接管理的办公、生活、生产性设施的安全管理须满足发包人现场管理的基本要求。</w:t>
      </w:r>
    </w:p>
    <w:p w14:paraId="0B8D6EC8">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3</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承包人应指定专职安全管理人员与发包人委托的监理公司接口，参与安全协调和管理。安全协调和管理的内容包括职业健康、工业安全、消防安全、卫生防疫、交通安全、环境保护、治安保卫等各方面。</w:t>
      </w:r>
    </w:p>
    <w:p w14:paraId="2737A890">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4</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的专职安全管理人员应具备协调安全工作的能力和授权。发包人委托的监理公司有权对专职安全管理人员的能力和权力做出评价，对于不能胜任的专职安全管理人员，发包人委托的监理公司有权要求承包人换人。</w:t>
      </w:r>
    </w:p>
    <w:p w14:paraId="2F8C7858">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5</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承包人指定的专职安全管理人员应与发包人委托的监理公司建立联系，在业务上接受发包人委托的监理公司的协调和指导。</w:t>
      </w:r>
    </w:p>
    <w:p w14:paraId="537B2505">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6</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开工后承包人的专职安全管理人员应按照发包人委托的监理公司的规定，定期报送安全月度快报、季报、年报和各种专项事故报告等。</w:t>
      </w:r>
    </w:p>
    <w:p w14:paraId="29336393">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7</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在工程实体未全部正式移交发包人施工管理部门之前，承包人依旧对施工范围内的安全管理负责。</w:t>
      </w:r>
    </w:p>
    <w:p w14:paraId="2185834E">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8.</w:t>
      </w:r>
      <w:r>
        <w:rPr>
          <w:rFonts w:hint="eastAsia" w:asciiTheme="minorEastAsia" w:hAnsiTheme="minorEastAsia" w:eastAsiaTheme="minorEastAsia" w:cstheme="minorEastAsia"/>
          <w:sz w:val="28"/>
          <w:szCs w:val="28"/>
          <w:highlight w:val="none"/>
        </w:rPr>
        <w:t>承包人负责在施工过程中与当地政府、周边群众及其他承包商保持良好的沟通和交流。承包人遇到与周边群众发生纠纷时，应负责协调工作，确保工程能够顺利进行。</w:t>
      </w:r>
    </w:p>
    <w:p w14:paraId="63757B65">
      <w:pPr>
        <w:spacing w:line="360" w:lineRule="auto"/>
        <w:ind w:firstLine="560" w:firstLineChars="200"/>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五、安全资质审查</w:t>
      </w:r>
    </w:p>
    <w:p w14:paraId="108579AC">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承包人在项目开工前5个工作天内向发包人委托的监理公司提供以下安全资质供审查和存档：</w:t>
      </w:r>
    </w:p>
    <w:p w14:paraId="6C88D728">
      <w:pPr>
        <w:numPr>
          <w:ilvl w:val="0"/>
          <w:numId w:val="0"/>
        </w:numPr>
        <w:spacing w:line="360" w:lineRule="auto"/>
        <w:ind w:firstLine="560" w:firstLineChars="200"/>
        <w:jc w:val="left"/>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kern w:val="2"/>
          <w:sz w:val="28"/>
          <w:szCs w:val="28"/>
          <w:highlight w:val="none"/>
          <w:lang w:val="en-US" w:eastAsia="zh-CN" w:bidi="ar-SA"/>
        </w:rPr>
        <w:t>1.</w:t>
      </w:r>
      <w:r>
        <w:rPr>
          <w:rFonts w:hint="eastAsia" w:asciiTheme="minorEastAsia" w:hAnsiTheme="minorEastAsia" w:eastAsiaTheme="minorEastAsia" w:cstheme="minorEastAsia"/>
          <w:sz w:val="28"/>
          <w:szCs w:val="28"/>
          <w:highlight w:val="none"/>
          <w:lang w:val="en-US" w:eastAsia="zh-CN"/>
        </w:rPr>
        <w:t>承包人安全资质审查表。</w:t>
      </w:r>
    </w:p>
    <w:p w14:paraId="66DD7D64">
      <w:pPr>
        <w:numPr>
          <w:ilvl w:val="0"/>
          <w:numId w:val="0"/>
        </w:num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kern w:val="2"/>
          <w:sz w:val="28"/>
          <w:szCs w:val="28"/>
          <w:highlight w:val="none"/>
          <w:lang w:val="en-US" w:eastAsia="zh-CN" w:bidi="ar-SA"/>
        </w:rPr>
        <w:t>2.安全资质证书，如</w:t>
      </w:r>
      <w:r>
        <w:rPr>
          <w:rFonts w:hint="eastAsia" w:asciiTheme="minorEastAsia" w:hAnsiTheme="minorEastAsia" w:eastAsiaTheme="minorEastAsia" w:cstheme="minorEastAsia"/>
          <w:sz w:val="28"/>
          <w:szCs w:val="28"/>
          <w:highlight w:val="none"/>
        </w:rPr>
        <w:t>企业安全生产许可证书复印件</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职业安全健康管理体系认证证书等</w:t>
      </w:r>
      <w:r>
        <w:rPr>
          <w:rFonts w:hint="eastAsia" w:asciiTheme="minorEastAsia" w:hAnsiTheme="minorEastAsia" w:eastAsiaTheme="minorEastAsia" w:cstheme="minorEastAsia"/>
          <w:sz w:val="28"/>
          <w:szCs w:val="28"/>
          <w:highlight w:val="none"/>
        </w:rPr>
        <w:t>。</w:t>
      </w:r>
    </w:p>
    <w:p w14:paraId="18386267">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3.</w:t>
      </w:r>
      <w:r>
        <w:rPr>
          <w:rFonts w:hint="eastAsia" w:asciiTheme="minorEastAsia" w:hAnsiTheme="minorEastAsia" w:eastAsiaTheme="minorEastAsia" w:cstheme="minorEastAsia"/>
          <w:sz w:val="28"/>
          <w:szCs w:val="28"/>
          <w:highlight w:val="none"/>
        </w:rPr>
        <w:t>企业近三年的施工简历及安全施工业绩证明文件</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包括事故发生率及原始记录、安全隐患治理情况档案等</w:t>
      </w:r>
      <w:r>
        <w:rPr>
          <w:rFonts w:hint="eastAsia" w:asciiTheme="minorEastAsia" w:hAnsiTheme="minorEastAsia" w:eastAsiaTheme="minorEastAsia" w:cstheme="minorEastAsia"/>
          <w:sz w:val="28"/>
          <w:szCs w:val="28"/>
          <w:highlight w:val="none"/>
        </w:rPr>
        <w:t>。</w:t>
      </w:r>
    </w:p>
    <w:p w14:paraId="06A1823C">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4.</w:t>
      </w:r>
      <w:r>
        <w:rPr>
          <w:rFonts w:hint="eastAsia" w:asciiTheme="minorEastAsia" w:hAnsiTheme="minorEastAsia" w:eastAsiaTheme="minorEastAsia" w:cstheme="minorEastAsia"/>
          <w:sz w:val="28"/>
          <w:szCs w:val="28"/>
          <w:highlight w:val="none"/>
        </w:rPr>
        <w:t>企业主要安全管理人员（包括</w:t>
      </w:r>
      <w:r>
        <w:rPr>
          <w:rFonts w:hint="eastAsia" w:asciiTheme="minorEastAsia" w:hAnsiTheme="minorEastAsia" w:eastAsiaTheme="minorEastAsia" w:cstheme="minorEastAsia"/>
          <w:sz w:val="28"/>
          <w:szCs w:val="28"/>
          <w:highlight w:val="none"/>
          <w:lang w:val="en-US" w:eastAsia="zh-CN"/>
        </w:rPr>
        <w:t>主要负责人、</w:t>
      </w:r>
      <w:r>
        <w:rPr>
          <w:rFonts w:hint="eastAsia" w:asciiTheme="minorEastAsia" w:hAnsiTheme="minorEastAsia" w:eastAsiaTheme="minorEastAsia" w:cstheme="minorEastAsia"/>
          <w:sz w:val="28"/>
          <w:szCs w:val="28"/>
          <w:highlight w:val="none"/>
        </w:rPr>
        <w:t>项目</w:t>
      </w:r>
      <w:r>
        <w:rPr>
          <w:rFonts w:hint="eastAsia" w:asciiTheme="minorEastAsia" w:hAnsiTheme="minorEastAsia" w:eastAsiaTheme="minorEastAsia" w:cstheme="minorEastAsia"/>
          <w:sz w:val="28"/>
          <w:szCs w:val="28"/>
          <w:highlight w:val="none"/>
          <w:lang w:val="en-US" w:eastAsia="zh-CN"/>
        </w:rPr>
        <w:t>负责人</w:t>
      </w:r>
      <w:r>
        <w:rPr>
          <w:rFonts w:hint="eastAsia" w:asciiTheme="minorEastAsia" w:hAnsiTheme="minorEastAsia" w:eastAsiaTheme="minorEastAsia" w:cstheme="minorEastAsia"/>
          <w:sz w:val="28"/>
          <w:szCs w:val="28"/>
          <w:highlight w:val="none"/>
        </w:rPr>
        <w:t>、安全</w:t>
      </w:r>
      <w:r>
        <w:rPr>
          <w:rFonts w:hint="eastAsia" w:asciiTheme="minorEastAsia" w:hAnsiTheme="minorEastAsia" w:eastAsiaTheme="minorEastAsia" w:cstheme="minorEastAsia"/>
          <w:sz w:val="28"/>
          <w:szCs w:val="28"/>
          <w:highlight w:val="none"/>
          <w:lang w:val="en-US" w:eastAsia="zh-CN"/>
        </w:rPr>
        <w:t>生产</w:t>
      </w:r>
      <w:r>
        <w:rPr>
          <w:rFonts w:hint="eastAsia" w:asciiTheme="minorEastAsia" w:hAnsiTheme="minorEastAsia" w:eastAsiaTheme="minorEastAsia" w:cstheme="minorEastAsia"/>
          <w:sz w:val="28"/>
          <w:szCs w:val="28"/>
          <w:highlight w:val="none"/>
        </w:rPr>
        <w:t>管理人员）经建设主管部门安全生产知识考核合格证书。</w:t>
      </w:r>
    </w:p>
    <w:p w14:paraId="4D0A8F26">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5.</w:t>
      </w:r>
      <w:r>
        <w:rPr>
          <w:rFonts w:hint="eastAsia" w:asciiTheme="minorEastAsia" w:hAnsiTheme="minorEastAsia" w:eastAsiaTheme="minorEastAsia" w:cstheme="minorEastAsia"/>
          <w:sz w:val="28"/>
          <w:szCs w:val="28"/>
          <w:highlight w:val="none"/>
        </w:rPr>
        <w:t>特种作业人员资格证书。</w:t>
      </w:r>
    </w:p>
    <w:p w14:paraId="0FE173B0">
      <w:pPr>
        <w:spacing w:line="360" w:lineRule="auto"/>
        <w:ind w:firstLine="560" w:firstLineChars="200"/>
        <w:jc w:val="left"/>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6.承包人须建立</w:t>
      </w:r>
      <w:r>
        <w:rPr>
          <w:rFonts w:hint="eastAsia" w:asciiTheme="minorEastAsia" w:hAnsiTheme="minorEastAsia" w:eastAsiaTheme="minorEastAsia" w:cstheme="minorEastAsia"/>
          <w:sz w:val="28"/>
          <w:szCs w:val="28"/>
          <w:highlight w:val="none"/>
        </w:rPr>
        <w:t>安全管理机构</w:t>
      </w:r>
      <w:r>
        <w:rPr>
          <w:rFonts w:hint="eastAsia" w:asciiTheme="minorEastAsia" w:hAnsiTheme="minorEastAsia" w:eastAsiaTheme="minorEastAsia" w:cstheme="minorEastAsia"/>
          <w:sz w:val="28"/>
          <w:szCs w:val="28"/>
          <w:highlight w:val="none"/>
          <w:lang w:val="en-US" w:eastAsia="zh-CN"/>
        </w:rPr>
        <w:t>并配备不少于相关法律规定比例的专职安全管理人员。</w:t>
      </w:r>
    </w:p>
    <w:p w14:paraId="6495ECA3">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7.</w:t>
      </w:r>
      <w:r>
        <w:rPr>
          <w:rFonts w:hint="eastAsia" w:asciiTheme="minorEastAsia" w:hAnsiTheme="minorEastAsia" w:eastAsiaTheme="minorEastAsia" w:cstheme="minorEastAsia"/>
          <w:sz w:val="28"/>
          <w:szCs w:val="28"/>
          <w:highlight w:val="none"/>
        </w:rPr>
        <w:t>适用于项目的安全管理体系及保证体系文件（安全管理大纲及管理程序文件）。</w:t>
      </w:r>
    </w:p>
    <w:p w14:paraId="4248CCC3">
      <w:pPr>
        <w:spacing w:line="360" w:lineRule="auto"/>
        <w:ind w:firstLine="560" w:firstLineChars="200"/>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六、人员基本素质</w:t>
      </w:r>
    </w:p>
    <w:p w14:paraId="649EC6BF">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承包人提供的人员必须满足下列要求：</w:t>
      </w:r>
    </w:p>
    <w:p w14:paraId="72CFD0C9">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身体健康，无影响工作的精神疾病、无传染病和其他重大疾病；承包人需对其雇用的施工人员签发健康声明并保证其健康。其中体检证明材料（县级以上医院）和健康声明作为人员办理入场证件的必备材料。</w:t>
      </w:r>
    </w:p>
    <w:p w14:paraId="101646C4">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2</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无刑事案件牵连。</w:t>
      </w:r>
    </w:p>
    <w:p w14:paraId="4FE356C1">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3</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无吸毒、酗酒、赌博、嫖娼等恶习及违法行为。</w:t>
      </w:r>
    </w:p>
    <w:p w14:paraId="25766857">
      <w:pPr>
        <w:spacing w:line="360" w:lineRule="auto"/>
        <w:ind w:firstLine="560" w:firstLineChars="200"/>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七、劳动保护</w:t>
      </w:r>
      <w:r>
        <w:rPr>
          <w:rFonts w:hint="eastAsia" w:asciiTheme="minorEastAsia" w:hAnsiTheme="minorEastAsia" w:eastAsiaTheme="minorEastAsia" w:cstheme="minorEastAsia"/>
          <w:sz w:val="28"/>
          <w:szCs w:val="28"/>
          <w:highlight w:val="none"/>
          <w:lang w:val="en-US" w:eastAsia="zh-CN"/>
        </w:rPr>
        <w:t>用品</w:t>
      </w:r>
    </w:p>
    <w:p w14:paraId="7DFBEA5D">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承包人负责为本单位任何用工形式的员工（含分包商员工及劳务人员）</w:t>
      </w:r>
      <w:r>
        <w:rPr>
          <w:rFonts w:hint="eastAsia" w:asciiTheme="minorEastAsia" w:hAnsiTheme="minorEastAsia" w:eastAsiaTheme="minorEastAsia" w:cstheme="minorEastAsia"/>
          <w:sz w:val="28"/>
          <w:szCs w:val="28"/>
          <w:highlight w:val="none"/>
          <w:lang w:val="en-US" w:eastAsia="zh-CN"/>
        </w:rPr>
        <w:t>配备</w:t>
      </w:r>
      <w:r>
        <w:rPr>
          <w:rFonts w:hint="eastAsia" w:asciiTheme="minorEastAsia" w:hAnsiTheme="minorEastAsia" w:eastAsiaTheme="minorEastAsia" w:cstheme="minorEastAsia"/>
          <w:sz w:val="28"/>
          <w:szCs w:val="28"/>
          <w:highlight w:val="none"/>
        </w:rPr>
        <w:t>符合国家标准的有承包人和/或其下属分包商标志的个人劳动保护用品。个人劳动保护用品（包括工作服、安全帽、安全鞋等），不得以货币或者其他物品替代。</w:t>
      </w:r>
    </w:p>
    <w:p w14:paraId="2EDA5888">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2</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承包人负责向特殊工种的员工提供特殊劳动保护</w:t>
      </w:r>
      <w:r>
        <w:rPr>
          <w:rFonts w:hint="eastAsia" w:asciiTheme="minorEastAsia" w:hAnsiTheme="minorEastAsia" w:eastAsiaTheme="minorEastAsia" w:cstheme="minorEastAsia"/>
          <w:sz w:val="28"/>
          <w:szCs w:val="28"/>
          <w:highlight w:val="none"/>
          <w:lang w:val="en-US" w:eastAsia="zh-CN"/>
        </w:rPr>
        <w:t>用品</w:t>
      </w:r>
      <w:r>
        <w:rPr>
          <w:rFonts w:hint="eastAsia" w:asciiTheme="minorEastAsia" w:hAnsiTheme="minorEastAsia" w:eastAsiaTheme="minorEastAsia" w:cstheme="minorEastAsia"/>
          <w:sz w:val="28"/>
          <w:szCs w:val="28"/>
          <w:highlight w:val="none"/>
        </w:rPr>
        <w:t>，否则不得从事特殊工种作业。</w:t>
      </w:r>
    </w:p>
    <w:p w14:paraId="4D0E12C9">
      <w:pPr>
        <w:spacing w:line="360" w:lineRule="auto"/>
        <w:ind w:firstLine="560" w:firstLineChars="200"/>
        <w:jc w:val="left"/>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3</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发包人委托的监理公司有权检查承包人乙方的个人劳动保护用品是否符合国家</w:t>
      </w:r>
      <w:r>
        <w:rPr>
          <w:rFonts w:hint="eastAsia" w:asciiTheme="minorEastAsia" w:hAnsiTheme="minorEastAsia" w:eastAsiaTheme="minorEastAsia" w:cstheme="minorEastAsia"/>
          <w:sz w:val="28"/>
          <w:szCs w:val="28"/>
          <w:highlight w:val="none"/>
          <w:lang w:val="en-US" w:eastAsia="zh-CN"/>
        </w:rPr>
        <w:t>或行业</w:t>
      </w:r>
      <w:r>
        <w:rPr>
          <w:rFonts w:hint="eastAsia" w:asciiTheme="minorEastAsia" w:hAnsiTheme="minorEastAsia" w:eastAsiaTheme="minorEastAsia" w:cstheme="minorEastAsia"/>
          <w:sz w:val="28"/>
          <w:szCs w:val="28"/>
          <w:highlight w:val="none"/>
        </w:rPr>
        <w:t>的相应标准</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使用进口的劳动防护用品，其防护性能不得低于我国相关标准。</w:t>
      </w:r>
    </w:p>
    <w:p w14:paraId="7A9499B4">
      <w:pPr>
        <w:spacing w:line="360" w:lineRule="auto"/>
        <w:ind w:firstLine="560" w:firstLineChars="200"/>
        <w:jc w:val="left"/>
        <w:rPr>
          <w:rFonts w:hint="eastAsia" w:asciiTheme="minorEastAsia" w:hAnsiTheme="minorEastAsia" w:eastAsiaTheme="minorEastAsia" w:cstheme="minorEastAsia"/>
          <w:sz w:val="28"/>
          <w:szCs w:val="28"/>
          <w:highlight w:val="none"/>
          <w:lang w:eastAsia="zh-CN"/>
        </w:rPr>
      </w:pPr>
      <w:r>
        <w:rPr>
          <w:rFonts w:hint="eastAsia" w:asciiTheme="minorEastAsia" w:hAnsiTheme="minorEastAsia" w:eastAsiaTheme="minorEastAsia" w:cstheme="minorEastAsia"/>
          <w:sz w:val="28"/>
          <w:szCs w:val="28"/>
          <w:highlight w:val="none"/>
          <w:lang w:val="en-US" w:eastAsia="zh-CN"/>
        </w:rPr>
        <w:t>4.承包人应</w:t>
      </w:r>
      <w:r>
        <w:rPr>
          <w:rFonts w:hint="eastAsia" w:asciiTheme="minorEastAsia" w:hAnsiTheme="minorEastAsia" w:eastAsiaTheme="minorEastAsia" w:cstheme="minorEastAsia"/>
          <w:sz w:val="28"/>
          <w:szCs w:val="28"/>
          <w:highlight w:val="none"/>
        </w:rPr>
        <w:t>对</w:t>
      </w:r>
      <w:r>
        <w:rPr>
          <w:rFonts w:hint="eastAsia" w:asciiTheme="minorEastAsia" w:hAnsiTheme="minorEastAsia" w:eastAsiaTheme="minorEastAsia" w:cstheme="minorEastAsia"/>
          <w:sz w:val="28"/>
          <w:szCs w:val="28"/>
          <w:highlight w:val="none"/>
          <w:lang w:val="en-US" w:eastAsia="zh-CN"/>
        </w:rPr>
        <w:t>员工</w:t>
      </w:r>
      <w:r>
        <w:rPr>
          <w:rFonts w:hint="eastAsia" w:asciiTheme="minorEastAsia" w:hAnsiTheme="minorEastAsia" w:eastAsiaTheme="minorEastAsia" w:cstheme="minorEastAsia"/>
          <w:sz w:val="28"/>
          <w:szCs w:val="28"/>
          <w:highlight w:val="none"/>
        </w:rPr>
        <w:t>进行劳动防护用品的使用、维护等专业知识的培训</w:t>
      </w:r>
      <w:r>
        <w:rPr>
          <w:rFonts w:hint="eastAsia" w:asciiTheme="minorEastAsia" w:hAnsiTheme="minorEastAsia" w:eastAsiaTheme="minorEastAsia" w:cstheme="minorEastAsia"/>
          <w:sz w:val="28"/>
          <w:szCs w:val="28"/>
          <w:highlight w:val="none"/>
          <w:lang w:eastAsia="zh-CN"/>
        </w:rPr>
        <w:t>。</w:t>
      </w:r>
    </w:p>
    <w:p w14:paraId="1F86F568">
      <w:pPr>
        <w:keepNext w:val="0"/>
        <w:keepLines w:val="0"/>
        <w:widowControl/>
        <w:suppressLineNumbers w:val="0"/>
        <w:spacing w:line="360" w:lineRule="auto"/>
        <w:ind w:firstLine="560" w:firstLineChars="200"/>
        <w:jc w:val="left"/>
        <w:rPr>
          <w:highlight w:val="none"/>
        </w:rPr>
      </w:pPr>
      <w:r>
        <w:rPr>
          <w:rFonts w:hint="eastAsia" w:asciiTheme="minorEastAsia" w:hAnsiTheme="minorEastAsia" w:eastAsiaTheme="minorEastAsia" w:cstheme="minorEastAsia"/>
          <w:sz w:val="28"/>
          <w:szCs w:val="28"/>
          <w:highlight w:val="none"/>
          <w:lang w:val="en-US" w:eastAsia="zh-CN"/>
        </w:rPr>
        <w:t>5.承包人须督促和定期检查员工</w:t>
      </w:r>
      <w:r>
        <w:rPr>
          <w:rFonts w:hint="eastAsia" w:asciiTheme="minorEastAsia" w:hAnsiTheme="minorEastAsia" w:eastAsiaTheme="minorEastAsia" w:cstheme="minorEastAsia"/>
          <w:sz w:val="28"/>
          <w:szCs w:val="28"/>
          <w:highlight w:val="none"/>
        </w:rPr>
        <w:t>在作业过程中，</w:t>
      </w:r>
      <w:r>
        <w:rPr>
          <w:rFonts w:hint="eastAsia" w:asciiTheme="minorEastAsia" w:hAnsiTheme="minorEastAsia" w:eastAsiaTheme="minorEastAsia" w:cstheme="minorEastAsia"/>
          <w:sz w:val="28"/>
          <w:szCs w:val="28"/>
          <w:highlight w:val="none"/>
          <w:lang w:val="en-US" w:eastAsia="zh-CN"/>
        </w:rPr>
        <w:t>应</w:t>
      </w:r>
      <w:r>
        <w:rPr>
          <w:rFonts w:hint="eastAsia" w:asciiTheme="minorEastAsia" w:hAnsiTheme="minorEastAsia" w:eastAsiaTheme="minorEastAsia" w:cstheme="minorEastAsia"/>
          <w:sz w:val="28"/>
          <w:szCs w:val="28"/>
          <w:highlight w:val="none"/>
        </w:rPr>
        <w:t>按照规章制度和劳动防护用品使用规则，正确佩戴和使用劳动防护用品。</w:t>
      </w:r>
      <w:r>
        <w:rPr>
          <w:rFonts w:hint="eastAsia" w:asciiTheme="minorEastAsia" w:hAnsiTheme="minorEastAsia" w:eastAsiaTheme="minorEastAsia" w:cstheme="minorEastAsia"/>
          <w:kern w:val="2"/>
          <w:sz w:val="28"/>
          <w:szCs w:val="28"/>
          <w:highlight w:val="none"/>
          <w:lang w:val="en-US" w:eastAsia="zh-CN" w:bidi="ar"/>
        </w:rPr>
        <w:t xml:space="preserve">进场施工人员必须正确佩戴安全帽，全员穿着反光衣。严禁施工人员穿拖鞋、凉鞋、高跟鞋、短袖、短裤、漏洞牛仔裤进行作业。 </w:t>
      </w:r>
    </w:p>
    <w:p w14:paraId="4F62D4D3">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6.</w:t>
      </w:r>
      <w:r>
        <w:rPr>
          <w:rFonts w:hint="eastAsia" w:asciiTheme="minorEastAsia" w:hAnsiTheme="minorEastAsia" w:eastAsiaTheme="minorEastAsia" w:cstheme="minorEastAsia"/>
          <w:sz w:val="28"/>
          <w:szCs w:val="28"/>
          <w:highlight w:val="none"/>
        </w:rPr>
        <w:t>承包人在特殊风险场所作业而需要特殊防护用品或安全仪表时，必须在上述防护用品全部到位后才能开工。</w:t>
      </w:r>
    </w:p>
    <w:p w14:paraId="0EC65197">
      <w:pPr>
        <w:spacing w:line="360" w:lineRule="auto"/>
        <w:ind w:firstLine="560" w:firstLineChars="200"/>
        <w:jc w:val="left"/>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7.承包人</w:t>
      </w:r>
      <w:r>
        <w:rPr>
          <w:rFonts w:hint="eastAsia" w:asciiTheme="minorEastAsia" w:hAnsiTheme="minorEastAsia" w:eastAsiaTheme="minorEastAsia" w:cstheme="minorEastAsia"/>
          <w:sz w:val="28"/>
          <w:szCs w:val="28"/>
          <w:highlight w:val="none"/>
        </w:rPr>
        <w:t>应当按照劳动防护用品发放周期定期发放，对工作过程中损坏的，应及时更换。</w:t>
      </w:r>
    </w:p>
    <w:p w14:paraId="391B4B6D">
      <w:pPr>
        <w:spacing w:line="360" w:lineRule="auto"/>
        <w:ind w:firstLine="560" w:firstLineChars="200"/>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八、施工机具与材料</w:t>
      </w:r>
    </w:p>
    <w:p w14:paraId="627AA4D0">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承包人对带入现场的施工机械和工器具的安全负责。</w:t>
      </w:r>
    </w:p>
    <w:p w14:paraId="0155D552">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2</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对于承包人带入现场的特殊工器具，如起重设备、索具、机动车辆、压缩气瓶等，承包人必须按国家法规和标准进行检测、试验，并持有法定部门出具的检验证书</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涉及使用特种设备的必须遵守《特种设备安全法》相关法律、法规规定。</w:t>
      </w:r>
    </w:p>
    <w:p w14:paraId="18CA1C21">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3</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对于不属于法定检测的工器具，承包人也必须建立相应的管理、检测制度，</w:t>
      </w:r>
      <w:r>
        <w:rPr>
          <w:rFonts w:hint="eastAsia" w:asciiTheme="minorEastAsia" w:hAnsiTheme="minorEastAsia" w:eastAsiaTheme="minorEastAsia" w:cstheme="minorEastAsia"/>
          <w:kern w:val="2"/>
          <w:sz w:val="28"/>
          <w:szCs w:val="28"/>
          <w:highlight w:val="none"/>
          <w:lang w:val="en-US" w:eastAsia="zh-CN" w:bidi="ar"/>
        </w:rPr>
        <w:t>按规定对施工所用的工器具和设备定期进行安全技术检验，不合格者严禁使用，每次使用前应进行外观检查与功能检测。</w:t>
      </w:r>
      <w:r>
        <w:rPr>
          <w:rFonts w:hint="eastAsia" w:asciiTheme="minorEastAsia" w:hAnsiTheme="minorEastAsia" w:eastAsiaTheme="minorEastAsia" w:cstheme="minorEastAsia"/>
          <w:sz w:val="28"/>
          <w:szCs w:val="28"/>
          <w:highlight w:val="none"/>
        </w:rPr>
        <w:t>这些工器具包括登高工具、脚手架材料、电动工具、安全防护设备及用具等。</w:t>
      </w:r>
    </w:p>
    <w:p w14:paraId="4F91858C">
      <w:pPr>
        <w:spacing w:line="360" w:lineRule="auto"/>
        <w:ind w:firstLine="560" w:firstLineChars="200"/>
        <w:jc w:val="left"/>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八、安全设施及现场管理</w:t>
      </w:r>
    </w:p>
    <w:p w14:paraId="4C24B17E">
      <w:pPr>
        <w:keepNext w:val="0"/>
        <w:keepLines w:val="0"/>
        <w:widowControl/>
        <w:suppressLineNumbers w:val="0"/>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kern w:val="2"/>
          <w:sz w:val="28"/>
          <w:szCs w:val="28"/>
          <w:highlight w:val="none"/>
          <w:lang w:val="en-US" w:eastAsia="zh-CN" w:bidi="ar"/>
        </w:rPr>
        <w:t>1.施工现场应设全封闭围挡，</w:t>
      </w:r>
      <w:r>
        <w:rPr>
          <w:rFonts w:hint="eastAsia" w:asciiTheme="minorEastAsia" w:hAnsiTheme="minorEastAsia" w:eastAsiaTheme="minorEastAsia" w:cstheme="minorEastAsia"/>
          <w:sz w:val="28"/>
          <w:szCs w:val="28"/>
          <w:highlight w:val="none"/>
          <w:lang w:bidi="ar"/>
        </w:rPr>
        <w:t>围挡挡板应使用钢结构或PVC材质，围挡高度不低于2.2米</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sz w:val="28"/>
          <w:szCs w:val="28"/>
          <w:highlight w:val="none"/>
          <w:lang w:bidi="ar"/>
        </w:rPr>
        <w:t>围挡挡板必须用连接件牢固的安装在立柱上，不得使用铁丝绑接</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sz w:val="28"/>
          <w:szCs w:val="28"/>
          <w:highlight w:val="none"/>
          <w:lang w:bidi="ar"/>
        </w:rPr>
        <w:t>围挡立柱之间间距不大于3米，立柱与地面之间必须安装牢固，不得未安装直接放置于地面</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sz w:val="28"/>
          <w:szCs w:val="28"/>
          <w:highlight w:val="none"/>
          <w:lang w:bidi="ar"/>
        </w:rPr>
        <w:t>围挡墙应设有防风措施。至少每间隔3米设置一道钢管斜撑</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sz w:val="28"/>
          <w:szCs w:val="28"/>
          <w:highlight w:val="none"/>
          <w:lang w:bidi="ar"/>
        </w:rPr>
        <w:t>斜撑上端用连接件固定在挡板横杆上，底部用膨胀螺丝固定</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sz w:val="28"/>
          <w:szCs w:val="28"/>
          <w:highlight w:val="none"/>
          <w:lang w:bidi="ar"/>
        </w:rPr>
        <w:t>围挡施工完毕，板与板之间衔接平顺，要在一条直线上</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sz w:val="28"/>
          <w:szCs w:val="28"/>
          <w:highlight w:val="none"/>
          <w:lang w:bidi="ar"/>
        </w:rPr>
        <w:t>板与板之间不得留有可视缝隙</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sz w:val="28"/>
          <w:szCs w:val="28"/>
          <w:highlight w:val="none"/>
          <w:lang w:bidi="ar"/>
        </w:rPr>
        <w:t>即在场外不能看见场内施工</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sz w:val="28"/>
          <w:szCs w:val="28"/>
          <w:highlight w:val="none"/>
          <w:lang w:bidi="ar"/>
        </w:rPr>
        <w:t>围挡仅可设置一个出入口用于进出人员、设备和工器具。 出入口门根据施工方案采用单扇或双扇门板，门板材料与围挡相同。出入口门必须可以上锁</w:t>
      </w:r>
      <w:r>
        <w:rPr>
          <w:rFonts w:hint="eastAsia" w:asciiTheme="minorEastAsia" w:hAnsiTheme="minorEastAsia" w:eastAsiaTheme="minorEastAsia" w:cstheme="minorEastAsia"/>
          <w:sz w:val="28"/>
          <w:szCs w:val="28"/>
          <w:highlight w:val="none"/>
          <w:lang w:val="en-US" w:eastAsia="zh-CN" w:bidi="ar"/>
        </w:rPr>
        <w:t>并</w:t>
      </w:r>
      <w:r>
        <w:rPr>
          <w:rFonts w:hint="eastAsia" w:asciiTheme="minorEastAsia" w:hAnsiTheme="minorEastAsia" w:eastAsiaTheme="minorEastAsia" w:cstheme="minorEastAsia"/>
          <w:kern w:val="2"/>
          <w:sz w:val="28"/>
          <w:szCs w:val="28"/>
          <w:highlight w:val="none"/>
          <w:lang w:val="en-US" w:eastAsia="zh-CN" w:bidi="ar"/>
        </w:rPr>
        <w:t xml:space="preserve">悬挂警示牌。严禁无关人员进入现场。 </w:t>
      </w:r>
    </w:p>
    <w:p w14:paraId="64A92DAE">
      <w:pPr>
        <w:spacing w:line="360" w:lineRule="auto"/>
        <w:ind w:firstLine="560" w:firstLineChars="200"/>
        <w:jc w:val="left"/>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2.施工现场必须按照国家、行业、地方标准针对施工场所及周边环境的危险源、风险点设置足够的</w:t>
      </w:r>
      <w:r>
        <w:rPr>
          <w:rFonts w:hint="eastAsia" w:asciiTheme="minorEastAsia" w:hAnsiTheme="minorEastAsia" w:eastAsiaTheme="minorEastAsia" w:cstheme="minorEastAsia"/>
          <w:sz w:val="28"/>
          <w:szCs w:val="28"/>
          <w:highlight w:val="none"/>
        </w:rPr>
        <w:t>安全</w:t>
      </w:r>
      <w:r>
        <w:rPr>
          <w:rFonts w:hint="eastAsia" w:asciiTheme="minorEastAsia" w:hAnsiTheme="minorEastAsia" w:eastAsiaTheme="minorEastAsia" w:cstheme="minorEastAsia"/>
          <w:sz w:val="28"/>
          <w:szCs w:val="28"/>
          <w:highlight w:val="none"/>
          <w:lang w:val="en-US" w:eastAsia="zh-CN"/>
        </w:rPr>
        <w:t>警示</w:t>
      </w:r>
      <w:r>
        <w:rPr>
          <w:rFonts w:hint="eastAsia" w:asciiTheme="minorEastAsia" w:hAnsiTheme="minorEastAsia" w:eastAsiaTheme="minorEastAsia" w:cstheme="minorEastAsia"/>
          <w:sz w:val="28"/>
          <w:szCs w:val="28"/>
          <w:highlight w:val="none"/>
        </w:rPr>
        <w:t>标志</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标志要与所警示的内容相吻合，设置位置要正确合理。包括但不限于</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图形符号安全色和安全标志 第5部分：安全标志使用原则与要求GB/T 2893.5-2020</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文件要求。</w:t>
      </w:r>
    </w:p>
    <w:p w14:paraId="3313FEA0">
      <w:pPr>
        <w:spacing w:line="360" w:lineRule="auto"/>
        <w:ind w:firstLine="560" w:firstLineChars="200"/>
        <w:jc w:val="left"/>
        <w:rPr>
          <w:rFonts w:hint="eastAsia" w:asciiTheme="minorEastAsia" w:hAnsiTheme="minorEastAsia" w:eastAsiaTheme="minorEastAsia" w:cstheme="minorEastAsia"/>
          <w:kern w:val="2"/>
          <w:sz w:val="28"/>
          <w:szCs w:val="28"/>
          <w:highlight w:val="none"/>
          <w:lang w:val="en-US" w:eastAsia="zh-CN" w:bidi="ar"/>
        </w:rPr>
      </w:pPr>
      <w:r>
        <w:rPr>
          <w:rFonts w:hint="eastAsia" w:asciiTheme="minorEastAsia" w:hAnsiTheme="minorEastAsia" w:eastAsiaTheme="minorEastAsia" w:cstheme="minorEastAsia"/>
          <w:kern w:val="2"/>
          <w:sz w:val="28"/>
          <w:szCs w:val="28"/>
          <w:highlight w:val="none"/>
          <w:lang w:val="en-US" w:eastAsia="zh-CN" w:bidi="ar"/>
        </w:rPr>
        <w:t xml:space="preserve">3.承包人必须制定消防责任制，按规定在施工现场配备足够的消防器材。 </w:t>
      </w:r>
      <w:r>
        <w:rPr>
          <w:rFonts w:hint="eastAsia" w:asciiTheme="minorEastAsia" w:hAnsiTheme="minorEastAsia" w:eastAsiaTheme="minorEastAsia" w:cstheme="minorEastAsia"/>
          <w:sz w:val="28"/>
          <w:szCs w:val="28"/>
          <w:highlight w:val="none"/>
        </w:rPr>
        <w:t>进场前应根据《建设工程施工现场消防安全技术规范GB50720》要求，于施工现场每100m2配置一组5kg的ABC干粉灭火器，每组2具</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灭火器应放置于灭火器箱柜内，定期检查确保有效，灭火器箱柜附近应张贴“灭火器放置点”标识</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rPr>
        <w:t>灭火器箱柜应放置在施工场地出入口附近，灭火器箱柜附近不得堆放工具、物料等物品，防止遮挡或火焰阻隔灭火器箱柜</w:t>
      </w:r>
      <w:r>
        <w:rPr>
          <w:rFonts w:hint="eastAsia" w:asciiTheme="minorEastAsia" w:hAnsiTheme="minorEastAsia" w:eastAsiaTheme="minorEastAsia" w:cstheme="minorEastAsia"/>
          <w:sz w:val="28"/>
          <w:szCs w:val="28"/>
          <w:highlight w:val="none"/>
          <w:lang w:eastAsia="zh-CN"/>
        </w:rPr>
        <w:t>。</w:t>
      </w:r>
    </w:p>
    <w:p w14:paraId="6E82CD93">
      <w:pPr>
        <w:spacing w:line="360" w:lineRule="auto"/>
        <w:ind w:firstLine="560" w:firstLineChars="200"/>
        <w:jc w:val="left"/>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kern w:val="2"/>
          <w:sz w:val="28"/>
          <w:szCs w:val="28"/>
          <w:highlight w:val="none"/>
          <w:lang w:val="en-US" w:eastAsia="zh-CN" w:bidi="ar"/>
        </w:rPr>
        <w:t>4.每日施工结束，施工人员应将</w:t>
      </w:r>
      <w:r>
        <w:rPr>
          <w:rFonts w:hint="eastAsia" w:asciiTheme="minorEastAsia" w:hAnsiTheme="minorEastAsia" w:eastAsiaTheme="minorEastAsia" w:cstheme="minorEastAsia"/>
          <w:color w:val="auto"/>
          <w:kern w:val="2"/>
          <w:sz w:val="28"/>
          <w:szCs w:val="28"/>
          <w:highlight w:val="none"/>
          <w:lang w:val="en-US" w:eastAsia="zh-CN" w:bidi="ar"/>
        </w:rPr>
        <w:t>施工场地出入口上锁，防止无关人员进入。</w:t>
      </w:r>
    </w:p>
    <w:p w14:paraId="352DC63D">
      <w:pPr>
        <w:spacing w:line="360" w:lineRule="auto"/>
        <w:ind w:firstLine="560" w:firstLineChars="200"/>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九、开工前安全条件检查</w:t>
      </w:r>
    </w:p>
    <w:p w14:paraId="04B77C24">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发包人委托的监理公司将在合同生效后，工程项目正式开工5个工作日前，依据合同安全条款的要求逐项对承包人安全准备情况进行检查。不满足开工安全条件时，承包人将不得开工，由此产生的工期和成本的影响，由承包人自行负责。</w:t>
      </w:r>
    </w:p>
    <w:p w14:paraId="04D9A3F6">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2</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开工前安全条件检查的基本内容包括：安全管理体系建设、安全资金投入、危险源识别和安全风险分析、施工机械的安全状况、安全工器具和材料、安全培训教材和教员、专职安全人员的到岗情况、培训的有效性、人员控制、个人劳动保护用品配备等内容。</w:t>
      </w:r>
    </w:p>
    <w:p w14:paraId="41590708">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3</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发包人委托的监理公司检查发现的缺陷，承包人应在规定期限内完成整改。对于重大缺陷，发包人委托的监理公司有权要求承包人推迟开工，由此对工期产生的影响或经济损失，由承包人承担。</w:t>
      </w:r>
    </w:p>
    <w:p w14:paraId="5248B7D2">
      <w:pPr>
        <w:spacing w:line="360" w:lineRule="auto"/>
        <w:ind w:firstLine="560" w:firstLineChars="200"/>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十、安全监督</w:t>
      </w:r>
    </w:p>
    <w:p w14:paraId="132F3E0C">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承包人应配备有满足项目安全管理需要的专职安全管理人员。</w:t>
      </w:r>
    </w:p>
    <w:p w14:paraId="31E08598">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2</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承包人的专职安全管理人员必须持建设主管部门颁发的安全生产知识考核合格证书。</w:t>
      </w:r>
    </w:p>
    <w:p w14:paraId="6F086128">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3</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承包人的专职安全管理人员在业务上接受发包人委托的监理公司和发包人安全管理部门的协调和指导。</w:t>
      </w:r>
    </w:p>
    <w:p w14:paraId="07064EC7">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4</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承包人应建立班前安全交底制度；施工期间坚持开展安全检查和日常安全监督并形成相应的记录。</w:t>
      </w:r>
    </w:p>
    <w:p w14:paraId="617F29F0">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5</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承包人应在每个作业区任命兼职安全员，赋予兼职安全员相应的授权和义务，并对兼职安全员进行定期考核。</w:t>
      </w:r>
    </w:p>
    <w:p w14:paraId="2D735BE3">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6</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承包人应接受和配合发包人专业部门及委托的监理公司的监督与安全评价。</w:t>
      </w:r>
    </w:p>
    <w:p w14:paraId="091CC2AB">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7</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发包人和委托的监理公司有权对承包人履行安全管理协议的情况进行监督，并有权对违章行为实行停工和处罚，处罚情况将通知承包人。涉及经济处罚时将直接通知合同管理部门从合同结算中扣除。</w:t>
      </w:r>
    </w:p>
    <w:p w14:paraId="278926CD">
      <w:pPr>
        <w:spacing w:line="360" w:lineRule="auto"/>
        <w:ind w:firstLine="560" w:firstLineChars="200"/>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十一、安全培训与授权</w:t>
      </w:r>
    </w:p>
    <w:p w14:paraId="1AC2FC7D">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承包人所有特殊工种</w:t>
      </w:r>
      <w:r>
        <w:rPr>
          <w:rFonts w:hint="eastAsia" w:asciiTheme="minorEastAsia" w:hAnsiTheme="minorEastAsia" w:eastAsiaTheme="minorEastAsia" w:cstheme="minorEastAsia"/>
          <w:sz w:val="28"/>
          <w:szCs w:val="28"/>
          <w:highlight w:val="none"/>
          <w:lang w:val="en-US" w:eastAsia="zh-CN"/>
        </w:rPr>
        <w:t>及特种作业</w:t>
      </w:r>
      <w:r>
        <w:rPr>
          <w:rFonts w:hint="eastAsia" w:asciiTheme="minorEastAsia" w:hAnsiTheme="minorEastAsia" w:eastAsiaTheme="minorEastAsia" w:cstheme="minorEastAsia"/>
          <w:sz w:val="28"/>
          <w:szCs w:val="28"/>
          <w:highlight w:val="none"/>
        </w:rPr>
        <w:t>人员必须持证上岗，</w:t>
      </w:r>
      <w:r>
        <w:rPr>
          <w:rFonts w:hint="eastAsia" w:asciiTheme="minorEastAsia" w:hAnsiTheme="minorEastAsia" w:eastAsiaTheme="minorEastAsia" w:cstheme="minorEastAsia"/>
          <w:color w:val="auto"/>
          <w:sz w:val="28"/>
          <w:szCs w:val="28"/>
          <w:highlight w:val="none"/>
          <w:lang w:val="en-US" w:eastAsia="zh-CN"/>
        </w:rPr>
        <w:t>人证一致，</w:t>
      </w:r>
      <w:r>
        <w:rPr>
          <w:rFonts w:hint="eastAsia" w:asciiTheme="minorEastAsia" w:hAnsiTheme="minorEastAsia" w:eastAsiaTheme="minorEastAsia" w:cstheme="minorEastAsia"/>
          <w:sz w:val="28"/>
          <w:szCs w:val="28"/>
          <w:highlight w:val="none"/>
        </w:rPr>
        <w:t>发包人和发包人委托的监理公司有权对其进行抽查。承包人要建立特殊工种定期培训和检查计划，这些工种包括但不限于：机动车驾驶员、焊工、起重工、电工等。</w:t>
      </w:r>
    </w:p>
    <w:p w14:paraId="1EFB4440">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2</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承包人应在特殊工种之外的其他工种中，筛选出高风险工种，并对其开展针对性的专题安全培训。</w:t>
      </w:r>
    </w:p>
    <w:p w14:paraId="773D41C9">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3</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承包人应组织 “入场培训”和考核</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入场作业前应对所有</w:t>
      </w:r>
      <w:r>
        <w:rPr>
          <w:rFonts w:hint="eastAsia" w:asciiTheme="minorEastAsia" w:hAnsiTheme="minorEastAsia" w:eastAsiaTheme="minorEastAsia" w:cstheme="minorEastAsia"/>
          <w:kern w:val="2"/>
          <w:sz w:val="28"/>
          <w:szCs w:val="28"/>
          <w:highlight w:val="none"/>
          <w:lang w:val="en-US" w:eastAsia="zh-CN" w:bidi="ar"/>
        </w:rPr>
        <w:t>作业人员进行安全、环保、文明施工相关教育培训和安全技术交底。接受安全教育培训和安全技术交底的人员必须与现场施工人员一致。未进行安全技术交底或培训不合格的人员不得进行施工作业。</w:t>
      </w:r>
      <w:r>
        <w:rPr>
          <w:rFonts w:hint="eastAsia" w:asciiTheme="minorEastAsia" w:hAnsiTheme="minorEastAsia" w:eastAsiaTheme="minorEastAsia" w:cstheme="minorEastAsia"/>
          <w:sz w:val="28"/>
          <w:szCs w:val="28"/>
          <w:highlight w:val="none"/>
        </w:rPr>
        <w:t>发包人委托的监理公司有权监督培训、</w:t>
      </w:r>
      <w:r>
        <w:rPr>
          <w:rFonts w:hint="eastAsia" w:asciiTheme="minorEastAsia" w:hAnsiTheme="minorEastAsia" w:eastAsiaTheme="minorEastAsia" w:cstheme="minorEastAsia"/>
          <w:sz w:val="28"/>
          <w:szCs w:val="28"/>
          <w:highlight w:val="none"/>
          <w:lang w:val="en-US" w:eastAsia="zh-CN"/>
        </w:rPr>
        <w:t>安全交底、</w:t>
      </w:r>
      <w:r>
        <w:rPr>
          <w:rFonts w:hint="eastAsia" w:asciiTheme="minorEastAsia" w:hAnsiTheme="minorEastAsia" w:eastAsiaTheme="minorEastAsia" w:cstheme="minorEastAsia"/>
          <w:sz w:val="28"/>
          <w:szCs w:val="28"/>
          <w:highlight w:val="none"/>
        </w:rPr>
        <w:t>考核情况或组织抽查考核。</w:t>
      </w:r>
    </w:p>
    <w:p w14:paraId="157C2E32">
      <w:pPr>
        <w:spacing w:line="360" w:lineRule="auto"/>
        <w:ind w:firstLine="560" w:firstLineChars="200"/>
        <w:jc w:val="left"/>
        <w:rPr>
          <w:rFonts w:hint="default" w:asciiTheme="minorEastAsia" w:hAnsiTheme="minorEastAsia" w:eastAsiaTheme="minorEastAsia" w:cstheme="minorEastAsia"/>
          <w:color w:val="FF0000"/>
          <w:sz w:val="28"/>
          <w:szCs w:val="28"/>
          <w:highlight w:val="none"/>
        </w:rPr>
      </w:pPr>
      <w:r>
        <w:rPr>
          <w:rFonts w:hint="eastAsia" w:asciiTheme="minorEastAsia" w:hAnsiTheme="minorEastAsia" w:eastAsiaTheme="minorEastAsia" w:cstheme="minorEastAsia"/>
          <w:sz w:val="28"/>
          <w:szCs w:val="28"/>
          <w:highlight w:val="none"/>
        </w:rPr>
        <w:t>4</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承包人应建立安全培训和考核机制，编制培训教材和培训滚动计划。承包人应组织安全考试/考核，建立培训考核记录，发包人委托的监理公司有权查看这些记录。</w:t>
      </w:r>
    </w:p>
    <w:p w14:paraId="6D1A0D95">
      <w:pPr>
        <w:spacing w:line="360" w:lineRule="auto"/>
        <w:ind w:firstLine="560" w:firstLineChars="200"/>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十二、职业健康与卫生防疫</w:t>
      </w:r>
    </w:p>
    <w:p w14:paraId="62E74B9A">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承包人应有特殊健康检查制度，预防有禁忌症患者从事有关职业，如恐高症患者不得从事高空作业，患有心血管疾病的人员不得从事繁重的体力劳动，特殊工种人员的体检应符合国家的规定。</w:t>
      </w:r>
    </w:p>
    <w:p w14:paraId="1CEF8B71">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2</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承包人应保证卫生防疫基本设施的投入，以满足医疗、急救的要求，建立外部医疗支持渠道。</w:t>
      </w:r>
    </w:p>
    <w:p w14:paraId="24B71C4E">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3</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应建立卫生防疫措施计划，做好生活区和施工区的卫生防疫工作；制定和执行保证饮水卫生、饮食卫生、环境卫生和预防集体食物中毒的措施；有灭蚊、灭鼠和消毒的专项工作计划；有针对性地制订预防SARS、禽流感、疟疾、霍乱、肠道传染病、肝炎、H1N1流感等疾病的措施。</w:t>
      </w:r>
    </w:p>
    <w:p w14:paraId="26CA36ED">
      <w:pPr>
        <w:spacing w:line="360" w:lineRule="auto"/>
        <w:ind w:firstLine="560" w:firstLineChars="200"/>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十三、文明施工与环保要求</w:t>
      </w:r>
    </w:p>
    <w:p w14:paraId="7C24D866">
      <w:pPr>
        <w:spacing w:line="360" w:lineRule="auto"/>
        <w:ind w:firstLine="560" w:firstLineChars="200"/>
        <w:jc w:val="left"/>
        <w:rPr>
          <w:rFonts w:hint="eastAsia" w:asciiTheme="minorEastAsia" w:hAnsiTheme="minorEastAsia" w:eastAsiaTheme="minorEastAsia" w:cstheme="minorEastAsia"/>
          <w:kern w:val="2"/>
          <w:sz w:val="28"/>
          <w:szCs w:val="28"/>
          <w:highlight w:val="none"/>
          <w:lang w:val="en-US" w:eastAsia="zh-CN" w:bidi="ar"/>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kern w:val="2"/>
          <w:sz w:val="28"/>
          <w:szCs w:val="28"/>
          <w:highlight w:val="none"/>
          <w:lang w:val="en-US" w:eastAsia="zh-CN" w:bidi="ar"/>
        </w:rPr>
        <w:t>承包人应严格执行《安全文明施工管理暂行办法》文件要求和遵守发包人和场地方关于安全环保、文明施工等内容的各项制度和要求，做好安全文明施工和环境保护工作，。并定期进行安全、环保、文明施工检查，及时整改问题和隐患。</w:t>
      </w:r>
    </w:p>
    <w:p w14:paraId="23E205EA">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kern w:val="2"/>
          <w:sz w:val="28"/>
          <w:szCs w:val="28"/>
          <w:highlight w:val="none"/>
          <w:lang w:val="en-US" w:eastAsia="zh-CN" w:bidi="ar"/>
        </w:rPr>
        <w:t>2.</w:t>
      </w:r>
      <w:r>
        <w:rPr>
          <w:rFonts w:hint="eastAsia" w:asciiTheme="minorEastAsia" w:hAnsiTheme="minorEastAsia" w:eastAsiaTheme="minorEastAsia" w:cstheme="minorEastAsia"/>
          <w:sz w:val="28"/>
          <w:szCs w:val="28"/>
          <w:highlight w:val="none"/>
        </w:rPr>
        <w:t>承包人需制订施工现场的文明施工措施，保持良好的施工现场秩序。施工现场的物料堆放要摆放整齐，宣传标志要</w:t>
      </w:r>
      <w:r>
        <w:rPr>
          <w:rFonts w:hint="eastAsia" w:asciiTheme="minorEastAsia" w:hAnsiTheme="minorEastAsia" w:eastAsiaTheme="minorEastAsia" w:cstheme="minorEastAsia"/>
          <w:sz w:val="28"/>
          <w:szCs w:val="28"/>
          <w:highlight w:val="none"/>
          <w:lang w:val="en-US" w:eastAsia="zh-CN"/>
        </w:rPr>
        <w:t>清晰</w:t>
      </w:r>
      <w:r>
        <w:rPr>
          <w:rFonts w:hint="eastAsia" w:asciiTheme="minorEastAsia" w:hAnsiTheme="minorEastAsia" w:eastAsiaTheme="minorEastAsia" w:cstheme="minorEastAsia"/>
          <w:sz w:val="28"/>
          <w:szCs w:val="28"/>
          <w:highlight w:val="none"/>
        </w:rPr>
        <w:t>醒目，废料、废物要分类收集，安全通道要畅通。</w:t>
      </w:r>
    </w:p>
    <w:p w14:paraId="32B18B99">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3.</w:t>
      </w:r>
      <w:r>
        <w:rPr>
          <w:rFonts w:hint="eastAsia" w:asciiTheme="minorEastAsia" w:hAnsiTheme="minorEastAsia" w:eastAsiaTheme="minorEastAsia" w:cstheme="minorEastAsia"/>
          <w:sz w:val="28"/>
          <w:szCs w:val="28"/>
          <w:highlight w:val="none"/>
        </w:rPr>
        <w:t>承包人作业时应避免建筑材料抛洒、飞扬、流淌</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kern w:val="2"/>
          <w:sz w:val="28"/>
          <w:szCs w:val="28"/>
          <w:highlight w:val="none"/>
          <w:lang w:val="en-US" w:eastAsia="zh-CN" w:bidi="ar"/>
        </w:rPr>
        <w:t>现场工程设备材料堆放整齐、布置合理，</w:t>
      </w:r>
      <w:r>
        <w:rPr>
          <w:rFonts w:hint="eastAsia" w:asciiTheme="minorEastAsia" w:hAnsiTheme="minorEastAsia" w:eastAsiaTheme="minorEastAsia" w:cstheme="minorEastAsia"/>
          <w:color w:val="auto"/>
          <w:kern w:val="2"/>
          <w:sz w:val="28"/>
          <w:szCs w:val="28"/>
          <w:highlight w:val="none"/>
          <w:lang w:val="en-US" w:eastAsia="zh-CN" w:bidi="ar"/>
        </w:rPr>
        <w:t>各种物资标识清楚，排放有序，并符合安全防火标准。</w:t>
      </w:r>
      <w:r>
        <w:rPr>
          <w:rFonts w:hint="eastAsia" w:asciiTheme="minorEastAsia" w:hAnsiTheme="minorEastAsia" w:eastAsiaTheme="minorEastAsia" w:cstheme="minorEastAsia"/>
          <w:sz w:val="28"/>
          <w:szCs w:val="28"/>
          <w:highlight w:val="none"/>
        </w:rPr>
        <w:t>；应尽可能降低噪音、震动。</w:t>
      </w:r>
    </w:p>
    <w:p w14:paraId="568F74AA">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4.</w:t>
      </w:r>
      <w:r>
        <w:rPr>
          <w:rFonts w:hint="eastAsia" w:asciiTheme="minorEastAsia" w:hAnsiTheme="minorEastAsia" w:eastAsiaTheme="minorEastAsia" w:cstheme="minorEastAsia"/>
          <w:sz w:val="28"/>
          <w:szCs w:val="28"/>
          <w:highlight w:val="none"/>
        </w:rPr>
        <w:t>承包人应根据实际需要，在施工现场布置临时卫生设施（洗手间、卫生间等），施工作业不破坏环境卫生，不污染现场环境。</w:t>
      </w:r>
    </w:p>
    <w:p w14:paraId="4E4691DD">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5.</w:t>
      </w:r>
      <w:r>
        <w:rPr>
          <w:rFonts w:hint="eastAsia" w:asciiTheme="minorEastAsia" w:hAnsiTheme="minorEastAsia" w:eastAsiaTheme="minorEastAsia" w:cstheme="minorEastAsia"/>
          <w:sz w:val="28"/>
          <w:szCs w:val="28"/>
          <w:highlight w:val="none"/>
        </w:rPr>
        <w:t>承包人在施工中应充分重视对环境的保护，保护绿色植被，保护古树。施工如需伤害古树，必须报告发包人委托的监理公司，在未得到指令前，禁止擅自伤害古树。</w:t>
      </w:r>
    </w:p>
    <w:p w14:paraId="7E56091C">
      <w:pPr>
        <w:keepNext w:val="0"/>
        <w:keepLines w:val="0"/>
        <w:widowControl/>
        <w:suppressLineNumbers w:val="0"/>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6.</w:t>
      </w:r>
      <w:r>
        <w:rPr>
          <w:rFonts w:hint="eastAsia" w:asciiTheme="minorEastAsia" w:hAnsiTheme="minorEastAsia" w:eastAsiaTheme="minorEastAsia" w:cstheme="minorEastAsia"/>
          <w:sz w:val="28"/>
          <w:szCs w:val="28"/>
          <w:highlight w:val="none"/>
        </w:rPr>
        <w:t>承包人应及时清理现场废物和垃圾。工业废料与生活垃圾必须分开，有害废物与普通废物必须分开（如油品废物、电池灯管等，必须单独收集、存放）；禁止在非指定场所乱倒、乱堆垃圾。禁止违章处理危险化学品和工业垃圾。</w:t>
      </w:r>
      <w:r>
        <w:rPr>
          <w:rFonts w:hint="eastAsia" w:asciiTheme="minorEastAsia" w:hAnsiTheme="minorEastAsia" w:eastAsiaTheme="minorEastAsia" w:cstheme="minorEastAsia"/>
          <w:kern w:val="2"/>
          <w:sz w:val="28"/>
          <w:szCs w:val="28"/>
          <w:highlight w:val="none"/>
          <w:lang w:val="en-US" w:eastAsia="zh-CN" w:bidi="ar"/>
        </w:rPr>
        <w:t xml:space="preserve">施工结束时应及时清场，做到工完、料尽、场地清。 </w:t>
      </w:r>
    </w:p>
    <w:p w14:paraId="66811C6C">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7.</w:t>
      </w:r>
      <w:r>
        <w:rPr>
          <w:rFonts w:hint="eastAsia" w:asciiTheme="minorEastAsia" w:hAnsiTheme="minorEastAsia" w:eastAsiaTheme="minorEastAsia" w:cstheme="minorEastAsia"/>
          <w:sz w:val="28"/>
          <w:szCs w:val="28"/>
          <w:highlight w:val="none"/>
        </w:rPr>
        <w:t>承包人在施工中应禁止向环境，排放工业污水、生活污水、废油或其他有害物质。</w:t>
      </w:r>
    </w:p>
    <w:p w14:paraId="7621E85E">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8.</w:t>
      </w:r>
      <w:r>
        <w:rPr>
          <w:rFonts w:hint="eastAsia" w:asciiTheme="minorEastAsia" w:hAnsiTheme="minorEastAsia" w:eastAsiaTheme="minorEastAsia" w:cstheme="minorEastAsia"/>
          <w:sz w:val="28"/>
          <w:szCs w:val="28"/>
          <w:highlight w:val="none"/>
        </w:rPr>
        <w:t>承包人在施工中应防止水土流失，应及时对裸露的地基、边坡、开挖出来的沙/土以及砂、石、水泥等建筑材料予以保护，防止风刮扬尘，雨水冲刷，流入下水道、排洪沟。如因防护不及时而造成大量水土流失、淤塞道路、沟道或污染环境的，承包人应承担清淤、清扫以及相应的赔偿责任。</w:t>
      </w:r>
    </w:p>
    <w:p w14:paraId="0D9CAEC8">
      <w:pPr>
        <w:spacing w:line="360" w:lineRule="auto"/>
        <w:ind w:firstLine="560" w:firstLineChars="200"/>
        <w:jc w:val="left"/>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9.</w:t>
      </w:r>
      <w:r>
        <w:rPr>
          <w:rFonts w:hint="eastAsia" w:asciiTheme="minorEastAsia" w:hAnsiTheme="minorEastAsia" w:eastAsiaTheme="minorEastAsia" w:cstheme="minorEastAsia"/>
          <w:color w:val="auto"/>
          <w:kern w:val="2"/>
          <w:sz w:val="28"/>
          <w:szCs w:val="28"/>
          <w:highlight w:val="none"/>
          <w:lang w:val="en-US" w:eastAsia="zh-CN" w:bidi="ar"/>
        </w:rPr>
        <w:t xml:space="preserve">承包人应确保施工场地内的泥浆、沙土不带至施工场地外。施工现场严格控制“扬尘”，施工场地内不得焚烧废物。夜间施工必须在项目所在地建设行政主管部门办理夜间施工许可证，得到许可后方可开展夜间施工作业。 </w:t>
      </w:r>
    </w:p>
    <w:p w14:paraId="57E74F07">
      <w:pPr>
        <w:spacing w:line="360" w:lineRule="auto"/>
        <w:ind w:firstLine="560" w:firstLineChars="200"/>
        <w:jc w:val="left"/>
        <w:rPr>
          <w:rFonts w:hint="eastAsia" w:asciiTheme="minorEastAsia" w:hAnsiTheme="minorEastAsia" w:eastAsiaTheme="minorEastAsia" w:cstheme="minorEastAsia"/>
          <w:kern w:val="2"/>
          <w:sz w:val="28"/>
          <w:szCs w:val="28"/>
          <w:highlight w:val="none"/>
          <w:lang w:val="en-US" w:eastAsia="zh-CN" w:bidi="ar"/>
        </w:rPr>
      </w:pPr>
      <w:r>
        <w:rPr>
          <w:rFonts w:hint="eastAsia" w:asciiTheme="minorEastAsia" w:hAnsiTheme="minorEastAsia" w:eastAsiaTheme="minorEastAsia" w:cstheme="minorEastAsia"/>
          <w:sz w:val="28"/>
          <w:szCs w:val="28"/>
          <w:highlight w:val="none"/>
          <w:lang w:val="en-US" w:eastAsia="zh-CN"/>
        </w:rPr>
        <w:t>10.</w:t>
      </w:r>
      <w:r>
        <w:rPr>
          <w:rFonts w:hint="eastAsia" w:asciiTheme="minorEastAsia" w:hAnsiTheme="minorEastAsia" w:eastAsiaTheme="minorEastAsia" w:cstheme="minorEastAsia"/>
          <w:kern w:val="2"/>
          <w:sz w:val="28"/>
          <w:szCs w:val="28"/>
          <w:highlight w:val="none"/>
          <w:lang w:val="en-US" w:eastAsia="zh-CN" w:bidi="ar"/>
        </w:rPr>
        <w:t>严禁在施工现场吸烟，严禁酒后进入施工现场。</w:t>
      </w:r>
    </w:p>
    <w:p w14:paraId="7ED06CE6">
      <w:pPr>
        <w:spacing w:line="360" w:lineRule="auto"/>
        <w:ind w:firstLine="560" w:firstLineChars="200"/>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十四、工程风险管理与事故预防</w:t>
      </w:r>
    </w:p>
    <w:p w14:paraId="0F1B07CC">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（一）基本要求</w:t>
      </w:r>
    </w:p>
    <w:p w14:paraId="0F6CB596">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承包人应对施工过程进行全面、深入的危险源识别和风险分析。在施工安全组织设计中提供危险源及重要危险源清单、作业风险分析报告，该报告应包括（但不限于）如下信息：</w:t>
      </w:r>
    </w:p>
    <w:p w14:paraId="7C097C57">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（1）高风险作业和工种清单：作业名称、类别和数量、主要事故风险。</w:t>
      </w:r>
    </w:p>
    <w:p w14:paraId="0E711C95">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（2）施工能源和机械的种类、数量和主要事故风险。</w:t>
      </w:r>
    </w:p>
    <w:p w14:paraId="28138B44">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（3）施工作业条件的类型和主要事故风险。</w:t>
      </w:r>
    </w:p>
    <w:p w14:paraId="1408CACE">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（4）主要工艺过程（或施工活动）的类别及其相关的事故风险。</w:t>
      </w:r>
    </w:p>
    <w:p w14:paraId="25D53A56">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（5）主要火灾危险（可燃物、点火源）。</w:t>
      </w:r>
    </w:p>
    <w:p w14:paraId="290E2757">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（6）主要自然灾害（洪水、大风、雷暴、暴雨、地质灾害等）。</w:t>
      </w:r>
    </w:p>
    <w:p w14:paraId="620B5E5B">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（7）主要环境保护事件（有害垃圾、机械的跑冒滴漏、原材料流失、水土流失等）。</w:t>
      </w:r>
    </w:p>
    <w:p w14:paraId="4D79C188">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（8）其他。</w:t>
      </w:r>
    </w:p>
    <w:p w14:paraId="6F639683">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2</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承包人应针对识别出的危险源制定有针对性的事故预防措施并确保在施工中得到有效落实。</w:t>
      </w:r>
    </w:p>
    <w:p w14:paraId="44C04898">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3</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承包人应建立日常施工活动的动态作业风险分析和安全交底制度。该制度应明确规定风险分析的方法、责任和交底的内容、时间及记录。</w:t>
      </w:r>
    </w:p>
    <w:p w14:paraId="2ED83E4B">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（二）现场作业基本安全条件</w:t>
      </w:r>
    </w:p>
    <w:p w14:paraId="357F5710">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承包人应规定现场作业的基本安全条件，包括照明条件、通风条件、作业平台和通道条件、物料堆放条件、供电供水条件、吸烟点、休息点等，并对临边现场、道路上作业现场、立体交叉作业现场、地面坑洞和沟道、夜间作业现场等的基本安全条件做出规定。</w:t>
      </w:r>
    </w:p>
    <w:p w14:paraId="5C840E59">
      <w:pPr>
        <w:numPr>
          <w:ilvl w:val="0"/>
          <w:numId w:val="0"/>
        </w:numPr>
        <w:spacing w:line="360" w:lineRule="auto"/>
        <w:ind w:firstLine="560" w:firstLineChars="200"/>
        <w:jc w:val="left"/>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kern w:val="2"/>
          <w:sz w:val="28"/>
          <w:szCs w:val="28"/>
          <w:highlight w:val="none"/>
          <w:lang w:val="en-US" w:eastAsia="zh-CN" w:bidi="ar-SA"/>
        </w:rPr>
        <w:t>十五、</w:t>
      </w:r>
      <w:r>
        <w:rPr>
          <w:rFonts w:hint="eastAsia" w:asciiTheme="minorEastAsia" w:hAnsiTheme="minorEastAsia" w:eastAsiaTheme="minorEastAsia" w:cstheme="minorEastAsia"/>
          <w:sz w:val="28"/>
          <w:szCs w:val="28"/>
          <w:highlight w:val="none"/>
          <w:lang w:val="en-US" w:eastAsia="zh-CN"/>
        </w:rPr>
        <w:t>危险作业</w:t>
      </w:r>
    </w:p>
    <w:p w14:paraId="457C2231">
      <w:pPr>
        <w:numPr>
          <w:ilvl w:val="-1"/>
          <w:numId w:val="0"/>
        </w:numPr>
        <w:spacing w:line="360" w:lineRule="auto"/>
        <w:ind w:firstLine="560" w:firstLineChars="200"/>
        <w:jc w:val="left"/>
        <w:rPr>
          <w:rFonts w:hint="eastAsia" w:asciiTheme="minorEastAsia" w:hAnsiTheme="minorEastAsia" w:eastAsiaTheme="minorEastAsia" w:cstheme="minorEastAsia"/>
          <w:kern w:val="2"/>
          <w:sz w:val="28"/>
          <w:szCs w:val="28"/>
          <w:highlight w:val="none"/>
          <w:lang w:val="en-US" w:eastAsia="zh-CN" w:bidi="ar"/>
        </w:rPr>
      </w:pPr>
      <w:r>
        <w:rPr>
          <w:rFonts w:hint="eastAsia" w:asciiTheme="minorEastAsia" w:hAnsiTheme="minorEastAsia" w:eastAsiaTheme="minorEastAsia" w:cstheme="minorEastAsia"/>
          <w:kern w:val="2"/>
          <w:sz w:val="28"/>
          <w:szCs w:val="28"/>
          <w:highlight w:val="none"/>
          <w:lang w:val="en-US" w:eastAsia="zh-CN" w:bidi="ar"/>
        </w:rPr>
        <w:t>1.承包人应结合本工程特点和现场实际情况编制可靠、适用的施工技术安全措施。起重吊装、动火作业、电工作业、高处作业、有限空间作业等特殊作业项目，必须编制专项施工技术安全方案。作业前办理对应的作业许可证，布置落实各项特种作业所需的安全保护措施后，方可按照操作规程开展特殊作业工作。</w:t>
      </w:r>
    </w:p>
    <w:p w14:paraId="5F51D269">
      <w:pPr>
        <w:keepNext w:val="0"/>
        <w:keepLines w:val="0"/>
        <w:widowControl/>
        <w:suppressLineNumbers w:val="0"/>
        <w:spacing w:line="360" w:lineRule="auto"/>
        <w:ind w:firstLine="560" w:firstLineChars="200"/>
        <w:jc w:val="left"/>
        <w:rPr>
          <w:rFonts w:hint="eastAsia" w:asciiTheme="minorEastAsia" w:hAnsiTheme="minorEastAsia" w:eastAsiaTheme="minorEastAsia" w:cstheme="minorEastAsia"/>
          <w:kern w:val="2"/>
          <w:sz w:val="28"/>
          <w:szCs w:val="28"/>
          <w:highlight w:val="none"/>
          <w:lang w:val="en-US" w:eastAsia="zh-CN" w:bidi="ar"/>
        </w:rPr>
      </w:pPr>
      <w:r>
        <w:rPr>
          <w:rFonts w:hint="eastAsia" w:asciiTheme="minorEastAsia" w:hAnsiTheme="minorEastAsia" w:eastAsiaTheme="minorEastAsia" w:cstheme="minorEastAsia"/>
          <w:kern w:val="2"/>
          <w:sz w:val="28"/>
          <w:szCs w:val="28"/>
          <w:highlight w:val="none"/>
          <w:lang w:val="en-US" w:eastAsia="zh-CN" w:bidi="ar"/>
        </w:rPr>
        <w:t>2.施工用电应有专人负责维护和管理，施工用电设施必须符合《建设工程施工现场供用电安全规范》和《施工现场临时用电安全技术规范》的有关规定，按规定使用漏电保护器，各种电动工机具应按规定采用可靠的接地（接零）保护。施工临时用电设施应有专人负责运行维护。严禁非电气专业人员拆装用电设备。所有电动工、机具应按规定可靠接地。绝缘工具应定期进行试验。</w:t>
      </w:r>
      <w:r>
        <w:rPr>
          <w:rFonts w:hint="eastAsia" w:asciiTheme="minorEastAsia" w:hAnsiTheme="minorEastAsia" w:eastAsiaTheme="minorEastAsia" w:cstheme="minorEastAsia"/>
          <w:sz w:val="28"/>
          <w:szCs w:val="28"/>
          <w:highlight w:val="none"/>
          <w:lang w:bidi="ar"/>
        </w:rPr>
        <w:t>移动式配电箱、开关箱应装设在坚固、稳定的支架上，其中心点与地面的垂直距离不得 小于0.8米</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sz w:val="28"/>
          <w:szCs w:val="28"/>
          <w:highlight w:val="none"/>
          <w:lang w:bidi="ar"/>
        </w:rPr>
        <w:t xml:space="preserve">移动式配电箱、开关箱前方预留不少于1米的空间，不得堆放任何妨碍操作、维修的物品，不得有灌木、杂草。 </w:t>
      </w:r>
      <w:r>
        <w:rPr>
          <w:rFonts w:hint="eastAsia" w:asciiTheme="minorEastAsia" w:hAnsiTheme="minorEastAsia" w:eastAsiaTheme="minorEastAsia" w:cstheme="minorEastAsia"/>
          <w:kern w:val="2"/>
          <w:sz w:val="28"/>
          <w:szCs w:val="28"/>
          <w:highlight w:val="none"/>
          <w:lang w:val="en-US" w:eastAsia="zh-CN" w:bidi="ar"/>
        </w:rPr>
        <w:t xml:space="preserve">电源箱设置应符合“一机、一闸、 一保护”要求。 </w:t>
      </w:r>
    </w:p>
    <w:p w14:paraId="3C04BF90">
      <w:pPr>
        <w:keepNext w:val="0"/>
        <w:keepLines w:val="0"/>
        <w:widowControl/>
        <w:suppressLineNumbers w:val="0"/>
        <w:spacing w:line="360" w:lineRule="auto"/>
        <w:ind w:firstLine="560" w:firstLineChars="200"/>
        <w:jc w:val="left"/>
        <w:rPr>
          <w:rFonts w:hint="eastAsia" w:asciiTheme="minorEastAsia" w:hAnsiTheme="minorEastAsia" w:eastAsiaTheme="minorEastAsia" w:cstheme="minorEastAsia"/>
          <w:kern w:val="2"/>
          <w:sz w:val="28"/>
          <w:szCs w:val="28"/>
          <w:highlight w:val="none"/>
          <w:lang w:val="en-US" w:eastAsia="zh-CN" w:bidi="ar"/>
        </w:rPr>
      </w:pPr>
      <w:r>
        <w:rPr>
          <w:rFonts w:hint="eastAsia" w:asciiTheme="minorEastAsia" w:hAnsiTheme="minorEastAsia" w:eastAsiaTheme="minorEastAsia" w:cstheme="minorEastAsia"/>
          <w:kern w:val="2"/>
          <w:sz w:val="28"/>
          <w:szCs w:val="28"/>
          <w:highlight w:val="none"/>
          <w:lang w:val="en-US" w:eastAsia="zh-CN" w:bidi="ar"/>
        </w:rPr>
        <w:t>3.承包人应加强监督进行高空作业人员应按要求使用安全带、安全绳等安全工器具，</w:t>
      </w:r>
      <w:r>
        <w:rPr>
          <w:rFonts w:hint="eastAsia" w:asciiTheme="minorEastAsia" w:hAnsiTheme="minorEastAsia" w:eastAsiaTheme="minorEastAsia" w:cstheme="minorEastAsia"/>
          <w:sz w:val="28"/>
          <w:szCs w:val="28"/>
          <w:highlight w:val="none"/>
          <w:lang w:bidi="ar"/>
        </w:rPr>
        <w:t>安全带的安全绳应挂在上方的牢固可靠处，当高处有焊接作业时应采取措施防止安全绳（带）损坏。高处作业人员应衣着灵便，衣袖、裤脚应扎紧，穿软底鞋，在作业过程中，高处作业人员应随时检查安全带是否拴牢</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sz w:val="28"/>
          <w:szCs w:val="28"/>
          <w:highlight w:val="none"/>
          <w:lang w:bidi="ar"/>
        </w:rPr>
        <w:t>在转移作业位置时不得失去保护，高处作业应设安全监护人。高处作业需使用脚手架时，脚手架必须经</w:t>
      </w:r>
      <w:r>
        <w:rPr>
          <w:rFonts w:hint="eastAsia" w:asciiTheme="minorEastAsia" w:hAnsiTheme="minorEastAsia" w:eastAsiaTheme="minorEastAsia" w:cstheme="minorEastAsia"/>
          <w:sz w:val="28"/>
          <w:szCs w:val="28"/>
          <w:highlight w:val="none"/>
          <w:lang w:val="en-US" w:eastAsia="zh-CN" w:bidi="ar"/>
        </w:rPr>
        <w:t>承包人</w:t>
      </w:r>
      <w:r>
        <w:rPr>
          <w:rFonts w:hint="eastAsia" w:asciiTheme="minorEastAsia" w:hAnsiTheme="minorEastAsia" w:eastAsiaTheme="minorEastAsia" w:cstheme="minorEastAsia"/>
          <w:sz w:val="28"/>
          <w:szCs w:val="28"/>
          <w:highlight w:val="none"/>
          <w:lang w:bidi="ar"/>
        </w:rPr>
        <w:t>审查，其符合《施工脚手架通用规范GB 55023》的各项相关规定后，方可投入使用。</w:t>
      </w:r>
      <w:r>
        <w:rPr>
          <w:rFonts w:hint="eastAsia" w:asciiTheme="minorEastAsia" w:hAnsiTheme="minorEastAsia" w:eastAsiaTheme="minorEastAsia" w:cstheme="minorEastAsia"/>
          <w:kern w:val="2"/>
          <w:sz w:val="28"/>
          <w:szCs w:val="28"/>
          <w:highlight w:val="none"/>
          <w:lang w:val="en-US" w:eastAsia="zh-CN" w:bidi="ar"/>
        </w:rPr>
        <w:t xml:space="preserve"> </w:t>
      </w:r>
    </w:p>
    <w:p w14:paraId="7AB8FE9C">
      <w:pPr>
        <w:widowControl/>
        <w:spacing w:line="360" w:lineRule="auto"/>
        <w:ind w:firstLine="560" w:firstLineChars="200"/>
        <w:jc w:val="left"/>
        <w:rPr>
          <w:rFonts w:hint="eastAsia" w:asciiTheme="minorEastAsia" w:hAnsiTheme="minorEastAsia" w:eastAsiaTheme="minorEastAsia" w:cstheme="minorEastAsia"/>
          <w:kern w:val="2"/>
          <w:sz w:val="28"/>
          <w:szCs w:val="28"/>
          <w:highlight w:val="none"/>
          <w:lang w:val="en-US" w:eastAsia="zh-CN" w:bidi="ar"/>
        </w:rPr>
      </w:pPr>
      <w:r>
        <w:rPr>
          <w:rFonts w:hint="eastAsia" w:asciiTheme="minorEastAsia" w:hAnsiTheme="minorEastAsia" w:eastAsiaTheme="minorEastAsia" w:cstheme="minorEastAsia"/>
          <w:kern w:val="2"/>
          <w:sz w:val="28"/>
          <w:szCs w:val="28"/>
          <w:highlight w:val="none"/>
          <w:lang w:val="en-US" w:eastAsia="zh-CN" w:bidi="ar"/>
        </w:rPr>
        <w:t>4.承包人进行吊车、起重机进行作业时，必须符</w:t>
      </w:r>
      <w:r>
        <w:rPr>
          <w:rFonts w:hint="eastAsia" w:asciiTheme="minorEastAsia" w:hAnsiTheme="minorEastAsia" w:eastAsiaTheme="minorEastAsia" w:cstheme="minorEastAsia"/>
          <w:sz w:val="28"/>
          <w:szCs w:val="28"/>
          <w:highlight w:val="none"/>
          <w:lang w:bidi="ar"/>
        </w:rPr>
        <w:t>合JGJ 276《建筑施工起重吊装工程安全技术规范JGJ 276》的各项相关要求</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kern w:val="2"/>
          <w:sz w:val="28"/>
          <w:szCs w:val="28"/>
          <w:highlight w:val="none"/>
          <w:lang w:val="en-US" w:eastAsia="zh-CN" w:bidi="ar"/>
        </w:rPr>
        <w:t>应有专人在现场监护。起重工作要有专人指挥，起重臂下和重物下方严禁人员停留或走动。使用吊车时，要支放稳妥，注意起重臂运动上方是否有障碍物，尤其应注意有无带电设备或导线，确保安全距离符合规范要求，严格遵守起重吊装作业“十不吊”要求。</w:t>
      </w:r>
    </w:p>
    <w:p w14:paraId="34BF4491">
      <w:pPr>
        <w:keepNext w:val="0"/>
        <w:keepLines w:val="0"/>
        <w:widowControl/>
        <w:suppressLineNumbers w:val="0"/>
        <w:spacing w:line="360" w:lineRule="auto"/>
        <w:ind w:firstLine="560" w:firstLineChars="200"/>
        <w:jc w:val="left"/>
        <w:rPr>
          <w:rFonts w:hint="eastAsia" w:asciiTheme="minorEastAsia" w:hAnsiTheme="minorEastAsia" w:eastAsiaTheme="minorEastAsia" w:cstheme="minorEastAsia"/>
          <w:sz w:val="28"/>
          <w:szCs w:val="28"/>
          <w:highlight w:val="none"/>
          <w:lang w:bidi="ar"/>
        </w:rPr>
      </w:pPr>
      <w:r>
        <w:rPr>
          <w:rFonts w:hint="eastAsia" w:asciiTheme="minorEastAsia" w:hAnsiTheme="minorEastAsia" w:eastAsiaTheme="minorEastAsia" w:cstheme="minorEastAsia"/>
          <w:kern w:val="2"/>
          <w:sz w:val="28"/>
          <w:szCs w:val="28"/>
          <w:highlight w:val="none"/>
          <w:lang w:val="en-US" w:eastAsia="zh-CN" w:bidi="ar"/>
        </w:rPr>
        <w:t xml:space="preserve">5.承包人进行焊接、切割等动火作业时，必须有专人监护，配置足够的消防器材。电焊机、切割机等动火作业工器具，必须经过施工单位审查，其符合国家、行业、地方标准的各项规定，方可投入使用。严禁使用非国标工器具或使用民用产品代替专业工器具。动火作业附近不应有易燃可燃的物品。动火作业人员应配备防护服、护目镜、防护面罩、焊接手套等保护措施。可能产生火花溅射的切割、焊接等作业，应使用阻燃板材进行遮挡。动火作业结束后动火作业人员和监护人员应清理现场，确认无残留火种后方可离开。电焊、气割等作业，严格遵守“十不烧”规程操作：1）未取焊工特殊工种操作证不能烧。2）要害部门和重要场所未经批准不烧。3）不了解焊接地点周围情况不烧。4）不了解焊接物内部情况不烧。5）装过易燃易爆物品的容器不烧。6）可用燃料材料作保温隔音的部位不烧。7）密闭和有压力的容器管道不烧。8）焊接部位旁有易燃易爆物品不烧。9）附近有明火作业相抵触的作业不烧。10）禁火区内未办理动火审批手续不烧。 </w:t>
      </w:r>
    </w:p>
    <w:p w14:paraId="1A46305C">
      <w:pPr>
        <w:keepNext w:val="0"/>
        <w:keepLines w:val="0"/>
        <w:widowControl/>
        <w:suppressLineNumbers w:val="0"/>
        <w:spacing w:line="360" w:lineRule="auto"/>
        <w:ind w:firstLine="560" w:firstLineChars="200"/>
        <w:jc w:val="left"/>
        <w:rPr>
          <w:rFonts w:hint="eastAsia" w:asciiTheme="minorEastAsia" w:hAnsiTheme="minorEastAsia" w:eastAsiaTheme="minorEastAsia" w:cstheme="minorEastAsia"/>
          <w:sz w:val="28"/>
          <w:szCs w:val="28"/>
          <w:highlight w:val="none"/>
          <w:lang w:bidi="ar"/>
        </w:rPr>
      </w:pPr>
      <w:r>
        <w:rPr>
          <w:rFonts w:hint="eastAsia" w:asciiTheme="minorEastAsia" w:hAnsiTheme="minorEastAsia" w:eastAsiaTheme="minorEastAsia" w:cstheme="minorEastAsia"/>
          <w:kern w:val="2"/>
          <w:sz w:val="28"/>
          <w:szCs w:val="28"/>
          <w:highlight w:val="none"/>
          <w:lang w:val="en-US" w:eastAsia="zh-CN" w:bidi="ar"/>
        </w:rPr>
        <w:t>6.承包人进行有限空间作业时，必须有专人监护。有限空间工作严格按照“先通风、再检测、后作业”的程序，未检测或监测未达标前严禁进入作业空间。</w:t>
      </w:r>
      <w:r>
        <w:rPr>
          <w:rFonts w:hint="eastAsia" w:asciiTheme="minorEastAsia" w:hAnsiTheme="minorEastAsia" w:eastAsiaTheme="minorEastAsia" w:cstheme="minorEastAsia"/>
          <w:sz w:val="28"/>
          <w:szCs w:val="28"/>
          <w:highlight w:val="none"/>
          <w:lang w:val="en-US" w:eastAsia="zh-CN" w:bidi="ar"/>
        </w:rPr>
        <w:t>承包人</w:t>
      </w:r>
      <w:r>
        <w:rPr>
          <w:rFonts w:hint="eastAsia" w:asciiTheme="minorEastAsia" w:hAnsiTheme="minorEastAsia" w:eastAsiaTheme="minorEastAsia" w:cstheme="minorEastAsia"/>
          <w:sz w:val="28"/>
          <w:szCs w:val="28"/>
          <w:highlight w:val="none"/>
          <w:lang w:bidi="ar"/>
        </w:rPr>
        <w:t>必须</w:t>
      </w:r>
      <w:r>
        <w:rPr>
          <w:rFonts w:hint="eastAsia" w:asciiTheme="minorEastAsia" w:hAnsiTheme="minorEastAsia" w:eastAsiaTheme="minorEastAsia" w:cstheme="minorEastAsia"/>
          <w:sz w:val="28"/>
          <w:szCs w:val="28"/>
          <w:highlight w:val="none"/>
          <w:lang w:val="en-US" w:eastAsia="zh-CN" w:bidi="ar"/>
        </w:rPr>
        <w:t>为操作人员</w:t>
      </w:r>
      <w:r>
        <w:rPr>
          <w:rFonts w:hint="eastAsia" w:asciiTheme="minorEastAsia" w:hAnsiTheme="minorEastAsia" w:eastAsiaTheme="minorEastAsia" w:cstheme="minorEastAsia"/>
          <w:sz w:val="28"/>
          <w:szCs w:val="28"/>
          <w:highlight w:val="none"/>
          <w:lang w:bidi="ar"/>
        </w:rPr>
        <w:t>配备个人防中毒窒息等防护装备，</w:t>
      </w:r>
      <w:r>
        <w:rPr>
          <w:rFonts w:hint="eastAsia" w:asciiTheme="minorEastAsia" w:hAnsiTheme="minorEastAsia" w:eastAsiaTheme="minorEastAsia" w:cstheme="minorEastAsia"/>
          <w:sz w:val="28"/>
          <w:szCs w:val="28"/>
          <w:highlight w:val="none"/>
          <w:lang w:val="en-US" w:eastAsia="zh-CN" w:bidi="ar"/>
        </w:rPr>
        <w:t>现场</w:t>
      </w:r>
      <w:r>
        <w:rPr>
          <w:rFonts w:hint="eastAsia" w:asciiTheme="minorEastAsia" w:hAnsiTheme="minorEastAsia" w:eastAsiaTheme="minorEastAsia" w:cstheme="minorEastAsia"/>
          <w:sz w:val="28"/>
          <w:szCs w:val="28"/>
          <w:highlight w:val="none"/>
          <w:lang w:bidi="ar"/>
        </w:rPr>
        <w:t>设置安全警示标识，严禁无防护监护措施作业。</w:t>
      </w:r>
      <w:r>
        <w:rPr>
          <w:rFonts w:hint="eastAsia" w:asciiTheme="minorEastAsia" w:hAnsiTheme="minorEastAsia" w:eastAsiaTheme="minorEastAsia" w:cstheme="minorEastAsia"/>
          <w:kern w:val="2"/>
          <w:sz w:val="28"/>
          <w:szCs w:val="28"/>
          <w:highlight w:val="none"/>
          <w:lang w:val="en-US" w:eastAsia="zh-CN" w:bidi="ar"/>
        </w:rPr>
        <w:t xml:space="preserve">检测合规后，必须办理作业许可手续后方可开展工作。作业过程中必须进行动态检测，一旦检测出现异常，作业人员立即停止作业撤离作业空间。承包人进行有限空间作业时必须制定应急措施，现场配备应急装备，严禁盲目施救。 </w:t>
      </w:r>
    </w:p>
    <w:p w14:paraId="508DDC3A">
      <w:pPr>
        <w:keepNext w:val="0"/>
        <w:keepLines w:val="0"/>
        <w:widowControl/>
        <w:suppressLineNumbers w:val="0"/>
        <w:spacing w:line="360" w:lineRule="auto"/>
        <w:ind w:firstLine="560" w:firstLineChars="200"/>
        <w:jc w:val="left"/>
        <w:rPr>
          <w:rFonts w:hint="eastAsia" w:asciiTheme="minorEastAsia" w:hAnsiTheme="minorEastAsia" w:eastAsiaTheme="minorEastAsia" w:cstheme="minorEastAsia"/>
          <w:kern w:val="2"/>
          <w:sz w:val="28"/>
          <w:szCs w:val="28"/>
          <w:highlight w:val="none"/>
          <w:lang w:val="en-US" w:eastAsia="zh-CN" w:bidi="ar"/>
        </w:rPr>
      </w:pPr>
      <w:r>
        <w:rPr>
          <w:rFonts w:hint="eastAsia" w:asciiTheme="minorEastAsia" w:hAnsiTheme="minorEastAsia" w:eastAsiaTheme="minorEastAsia" w:cstheme="minorEastAsia"/>
          <w:kern w:val="2"/>
          <w:sz w:val="28"/>
          <w:szCs w:val="28"/>
          <w:highlight w:val="none"/>
          <w:lang w:val="en-US" w:eastAsia="zh-CN" w:bidi="ar"/>
        </w:rPr>
        <w:t>7.</w:t>
      </w:r>
      <w:r>
        <w:rPr>
          <w:rFonts w:hint="eastAsia" w:asciiTheme="minorEastAsia" w:hAnsiTheme="minorEastAsia" w:eastAsiaTheme="minorEastAsia" w:cstheme="minorEastAsia"/>
          <w:sz w:val="28"/>
          <w:szCs w:val="28"/>
          <w:highlight w:val="none"/>
          <w:lang w:val="en-US" w:eastAsia="zh-CN" w:bidi="ar"/>
        </w:rPr>
        <w:t>承保人</w:t>
      </w:r>
      <w:r>
        <w:rPr>
          <w:rFonts w:hint="eastAsia" w:asciiTheme="minorEastAsia" w:hAnsiTheme="minorEastAsia" w:eastAsiaTheme="minorEastAsia" w:cstheme="minorEastAsia"/>
          <w:sz w:val="28"/>
          <w:szCs w:val="28"/>
          <w:highlight w:val="none"/>
          <w:lang w:bidi="ar"/>
        </w:rPr>
        <w:t>进行</w:t>
      </w:r>
      <w:r>
        <w:rPr>
          <w:rFonts w:hint="eastAsia" w:asciiTheme="minorEastAsia" w:hAnsiTheme="minorEastAsia" w:eastAsiaTheme="minorEastAsia" w:cstheme="minorEastAsia"/>
          <w:sz w:val="28"/>
          <w:szCs w:val="28"/>
          <w:highlight w:val="none"/>
          <w:lang w:val="en-US" w:eastAsia="zh-CN" w:bidi="ar"/>
        </w:rPr>
        <w:t>动土</w:t>
      </w:r>
      <w:r>
        <w:rPr>
          <w:rFonts w:hint="eastAsia" w:asciiTheme="minorEastAsia" w:hAnsiTheme="minorEastAsia" w:eastAsiaTheme="minorEastAsia" w:cstheme="minorEastAsia"/>
          <w:sz w:val="28"/>
          <w:szCs w:val="28"/>
          <w:highlight w:val="none"/>
          <w:lang w:bidi="ar"/>
        </w:rPr>
        <w:t>作业必须符合《建筑施工土石方工程安全技术规范JGJ</w:t>
      </w:r>
      <w:r>
        <w:rPr>
          <w:rFonts w:hint="eastAsia" w:asciiTheme="minorEastAsia" w:hAnsiTheme="minorEastAsia" w:eastAsiaTheme="minorEastAsia" w:cstheme="minorEastAsia"/>
          <w:sz w:val="28"/>
          <w:szCs w:val="28"/>
          <w:highlight w:val="none"/>
          <w:lang w:val="en-US" w:eastAsia="zh-CN" w:bidi="ar"/>
        </w:rPr>
        <w:t xml:space="preserve"> </w:t>
      </w:r>
      <w:r>
        <w:rPr>
          <w:rFonts w:hint="eastAsia" w:asciiTheme="minorEastAsia" w:hAnsiTheme="minorEastAsia" w:eastAsiaTheme="minorEastAsia" w:cstheme="minorEastAsia"/>
          <w:sz w:val="28"/>
          <w:szCs w:val="28"/>
          <w:highlight w:val="none"/>
          <w:lang w:bidi="ar"/>
        </w:rPr>
        <w:t>180》的各项相关要求。挖掘机等土方开挖机械必须提供符合国家规定的各项检查、检测证明文件，由</w:t>
      </w:r>
      <w:r>
        <w:rPr>
          <w:rFonts w:hint="eastAsia" w:asciiTheme="minorEastAsia" w:hAnsiTheme="minorEastAsia" w:eastAsiaTheme="minorEastAsia" w:cstheme="minorEastAsia"/>
          <w:sz w:val="28"/>
          <w:szCs w:val="28"/>
          <w:highlight w:val="none"/>
          <w:lang w:val="en-US" w:eastAsia="zh-CN" w:bidi="ar"/>
        </w:rPr>
        <w:t>承包人</w:t>
      </w:r>
      <w:r>
        <w:rPr>
          <w:rFonts w:hint="eastAsia" w:asciiTheme="minorEastAsia" w:hAnsiTheme="minorEastAsia" w:eastAsiaTheme="minorEastAsia" w:cstheme="minorEastAsia"/>
          <w:sz w:val="28"/>
          <w:szCs w:val="28"/>
          <w:highlight w:val="none"/>
          <w:lang w:bidi="ar"/>
        </w:rPr>
        <w:t>检查合格后方可进场施工，证件不齐、证明过期的土方开挖机械不得使用</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sz w:val="28"/>
          <w:szCs w:val="28"/>
          <w:highlight w:val="none"/>
          <w:lang w:bidi="ar"/>
        </w:rPr>
        <w:t>土方开挖区域必须用移动护栏围蔽，并装设警示牌。土方开挖工作区域内无关人员不得停留或通过</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sz w:val="28"/>
          <w:szCs w:val="28"/>
          <w:highlight w:val="none"/>
          <w:lang w:bidi="ar"/>
        </w:rPr>
        <w:t>进行挖掘作业前，要事先了解作业区域内的地下管网、线缆的埋设情况。土质松软时应有防塌方措施。</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sz w:val="28"/>
          <w:szCs w:val="28"/>
          <w:highlight w:val="none"/>
          <w:lang w:bidi="ar"/>
        </w:rPr>
        <w:t>进行挖掘机作业时，必须有具备资质的人员进行操作。施工单位应有专人在现场监护。夜间应有充足的照明</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sz w:val="28"/>
          <w:szCs w:val="28"/>
          <w:highlight w:val="none"/>
          <w:lang w:bidi="ar"/>
        </w:rPr>
        <w:t>雨后必须检查土壁及支撑稳定情况，在确保安全的情况下继续工作，并且不得将土和其他物件堆在支撑上，不得在支撑下行走或站立。人工挖土时要注意土壁的稳定性，发现有裂缝及倾、塌可能时，人员要立即离开并及时处理</w:t>
      </w:r>
      <w:r>
        <w:rPr>
          <w:rFonts w:hint="eastAsia" w:asciiTheme="minorEastAsia" w:hAnsiTheme="minorEastAsia" w:eastAsiaTheme="minorEastAsia" w:cstheme="minorEastAsia"/>
          <w:sz w:val="28"/>
          <w:szCs w:val="28"/>
          <w:highlight w:val="none"/>
          <w:lang w:eastAsia="zh-CN" w:bidi="ar"/>
        </w:rPr>
        <w:t>；</w:t>
      </w:r>
      <w:r>
        <w:rPr>
          <w:rFonts w:hint="eastAsia" w:asciiTheme="minorEastAsia" w:hAnsiTheme="minorEastAsia" w:eastAsiaTheme="minorEastAsia" w:cstheme="minorEastAsia"/>
          <w:sz w:val="28"/>
          <w:szCs w:val="28"/>
          <w:highlight w:val="none"/>
          <w:lang w:bidi="ar"/>
        </w:rPr>
        <w:t>不在围挡范围内的电缆沟未回填前，必须用护栏围蔽，护栏之间应连接牢固，以防止行人掉入电缆沟内</w:t>
      </w:r>
      <w:r>
        <w:rPr>
          <w:rFonts w:hint="eastAsia" w:asciiTheme="minorEastAsia" w:hAnsiTheme="minorEastAsia" w:eastAsiaTheme="minorEastAsia" w:cstheme="minorEastAsia"/>
          <w:sz w:val="28"/>
          <w:szCs w:val="28"/>
          <w:highlight w:val="none"/>
          <w:lang w:eastAsia="zh-CN" w:bidi="ar"/>
        </w:rPr>
        <w:t>。</w:t>
      </w:r>
    </w:p>
    <w:p w14:paraId="2471C127">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十</w:t>
      </w:r>
      <w:r>
        <w:rPr>
          <w:rFonts w:hint="eastAsia" w:asciiTheme="minorEastAsia" w:hAnsiTheme="minorEastAsia" w:eastAsiaTheme="minorEastAsia" w:cstheme="minorEastAsia"/>
          <w:sz w:val="28"/>
          <w:szCs w:val="28"/>
          <w:highlight w:val="none"/>
          <w:lang w:val="en-US" w:eastAsia="zh-CN"/>
        </w:rPr>
        <w:t>六</w:t>
      </w:r>
      <w:r>
        <w:rPr>
          <w:rFonts w:hint="eastAsia" w:asciiTheme="minorEastAsia" w:hAnsiTheme="minorEastAsia" w:eastAsiaTheme="minorEastAsia" w:cstheme="minorEastAsia"/>
          <w:sz w:val="28"/>
          <w:szCs w:val="28"/>
          <w:highlight w:val="none"/>
        </w:rPr>
        <w:t>、事故报告与应急救援</w:t>
      </w:r>
    </w:p>
    <w:p w14:paraId="340EC23D">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承包人应制定对于未遂事故及以上级别的安全事件和事故，定期报送安全月度快报、季报、年报和各种专项事故报告等。</w:t>
      </w:r>
    </w:p>
    <w:p w14:paraId="7A38490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2</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承包人应建立安全事故统计记录、未遂事故统计记录、违章统计记录，并根据统计情况进行分析，并就分析结果制定相应的预防措施。</w:t>
      </w:r>
    </w:p>
    <w:p w14:paraId="43A3DA36">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Theme="minorEastAsia" w:hAnsiTheme="minorEastAsia" w:eastAsiaTheme="minorEastAsia" w:cstheme="minorEastAsia"/>
          <w:sz w:val="28"/>
          <w:szCs w:val="28"/>
          <w:highlight w:val="none"/>
          <w:lang w:bidi="ar"/>
        </w:rPr>
      </w:pPr>
      <w:r>
        <w:rPr>
          <w:rFonts w:hint="eastAsia" w:asciiTheme="minorEastAsia" w:hAnsiTheme="minorEastAsia" w:eastAsiaTheme="minorEastAsia" w:cstheme="minorEastAsia"/>
          <w:sz w:val="28"/>
          <w:szCs w:val="28"/>
          <w:highlight w:val="none"/>
        </w:rPr>
        <w:t>3</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承包人应建立事故应</w:t>
      </w:r>
      <w:r>
        <w:rPr>
          <w:rFonts w:hint="eastAsia" w:asciiTheme="minorEastAsia" w:hAnsiTheme="minorEastAsia" w:eastAsiaTheme="minorEastAsia" w:cstheme="minorEastAsia"/>
          <w:sz w:val="28"/>
          <w:szCs w:val="28"/>
          <w:highlight w:val="none"/>
          <w:lang w:bidi="ar"/>
        </w:rPr>
        <w:t>急救援机制，明确事故处置的基本原则，即现场发生事故时，首先抢救生命，向救援组织报警，并采取措施限制事故扩大。</w:t>
      </w:r>
    </w:p>
    <w:p w14:paraId="39892481">
      <w:pPr>
        <w:widowControl/>
        <w:spacing w:line="360" w:lineRule="auto"/>
        <w:ind w:firstLine="560" w:firstLineChars="200"/>
        <w:jc w:val="left"/>
        <w:rPr>
          <w:rFonts w:hint="eastAsia" w:asciiTheme="minorEastAsia" w:hAnsiTheme="minorEastAsia" w:eastAsiaTheme="minorEastAsia" w:cstheme="minorEastAsia"/>
          <w:sz w:val="28"/>
          <w:szCs w:val="28"/>
          <w:highlight w:val="none"/>
          <w:lang w:bidi="ar"/>
        </w:rPr>
      </w:pPr>
      <w:r>
        <w:rPr>
          <w:rFonts w:hint="eastAsia" w:asciiTheme="minorEastAsia" w:hAnsiTheme="minorEastAsia" w:eastAsiaTheme="minorEastAsia" w:cstheme="minorEastAsia"/>
          <w:sz w:val="28"/>
          <w:szCs w:val="28"/>
          <w:highlight w:val="none"/>
          <w:lang w:bidi="ar"/>
        </w:rPr>
        <w:t>4</w:t>
      </w:r>
      <w:r>
        <w:rPr>
          <w:rFonts w:hint="eastAsia" w:asciiTheme="minorEastAsia" w:hAnsiTheme="minorEastAsia" w:eastAsiaTheme="minorEastAsia" w:cstheme="minorEastAsia"/>
          <w:sz w:val="28"/>
          <w:szCs w:val="28"/>
          <w:highlight w:val="none"/>
          <w:lang w:val="en-US" w:eastAsia="zh-CN" w:bidi="ar"/>
        </w:rPr>
        <w:t>.</w:t>
      </w:r>
      <w:r>
        <w:rPr>
          <w:rFonts w:hint="eastAsia" w:asciiTheme="minorEastAsia" w:hAnsiTheme="minorEastAsia" w:eastAsiaTheme="minorEastAsia" w:cstheme="minorEastAsia"/>
          <w:sz w:val="28"/>
          <w:szCs w:val="28"/>
          <w:highlight w:val="none"/>
          <w:lang w:bidi="ar"/>
        </w:rPr>
        <w:t>承包人应建立相应的应急响应组织，以便能迅速处理突发意外。</w:t>
      </w:r>
    </w:p>
    <w:p w14:paraId="55756DD1">
      <w:pPr>
        <w:keepNext w:val="0"/>
        <w:keepLines w:val="0"/>
        <w:widowControl/>
        <w:suppressLineNumbers w:val="0"/>
        <w:spacing w:line="360" w:lineRule="auto"/>
        <w:ind w:firstLine="560" w:firstLineChars="200"/>
        <w:jc w:val="left"/>
        <w:rPr>
          <w:rFonts w:hint="eastAsia" w:asciiTheme="minorEastAsia" w:hAnsiTheme="minorEastAsia" w:eastAsiaTheme="minorEastAsia" w:cstheme="minorEastAsia"/>
          <w:sz w:val="28"/>
          <w:szCs w:val="28"/>
          <w:highlight w:val="none"/>
          <w:lang w:bidi="ar"/>
        </w:rPr>
      </w:pPr>
      <w:r>
        <w:rPr>
          <w:rFonts w:hint="eastAsia" w:asciiTheme="minorEastAsia" w:hAnsiTheme="minorEastAsia" w:eastAsiaTheme="minorEastAsia" w:cstheme="minorEastAsia"/>
          <w:sz w:val="28"/>
          <w:szCs w:val="28"/>
          <w:highlight w:val="none"/>
          <w:lang w:bidi="ar"/>
        </w:rPr>
        <w:t>5</w:t>
      </w:r>
      <w:r>
        <w:rPr>
          <w:rFonts w:hint="eastAsia" w:asciiTheme="minorEastAsia" w:hAnsiTheme="minorEastAsia" w:eastAsiaTheme="minorEastAsia" w:cstheme="minorEastAsia"/>
          <w:sz w:val="28"/>
          <w:szCs w:val="28"/>
          <w:highlight w:val="none"/>
          <w:lang w:val="en-US" w:eastAsia="zh-CN" w:bidi="ar"/>
        </w:rPr>
        <w:t>.</w:t>
      </w:r>
      <w:r>
        <w:rPr>
          <w:rFonts w:hint="eastAsia" w:asciiTheme="minorEastAsia" w:hAnsiTheme="minorEastAsia" w:eastAsiaTheme="minorEastAsia" w:cstheme="minorEastAsia"/>
          <w:sz w:val="28"/>
          <w:szCs w:val="28"/>
          <w:highlight w:val="none"/>
          <w:lang w:bidi="ar"/>
        </w:rPr>
        <w:t>承包人应建立专项应急响应预案，</w:t>
      </w:r>
      <w:r>
        <w:rPr>
          <w:rFonts w:hint="eastAsia" w:asciiTheme="minorEastAsia" w:hAnsiTheme="minorEastAsia" w:eastAsiaTheme="minorEastAsia" w:cstheme="minorEastAsia"/>
          <w:kern w:val="2"/>
          <w:sz w:val="28"/>
          <w:szCs w:val="28"/>
          <w:highlight w:val="none"/>
          <w:lang w:val="en-US" w:eastAsia="zh-CN" w:bidi="ar"/>
        </w:rPr>
        <w:t>事故应急预案应有针对性，</w:t>
      </w:r>
      <w:r>
        <w:rPr>
          <w:rFonts w:hint="eastAsia" w:asciiTheme="minorEastAsia" w:hAnsiTheme="minorEastAsia" w:eastAsiaTheme="minorEastAsia" w:cstheme="minorEastAsia"/>
          <w:sz w:val="28"/>
          <w:szCs w:val="28"/>
          <w:highlight w:val="none"/>
          <w:lang w:bidi="ar"/>
        </w:rPr>
        <w:t>包括重大人身伤亡事故的救护预案、火灾响应预案、“四防”预案（防风、防冻、防雷、防暴雨）、重大疫病防护预案、环境污染防护预案、地质灾害防护预案等。</w:t>
      </w:r>
      <w:r>
        <w:rPr>
          <w:rFonts w:hint="eastAsia" w:asciiTheme="minorEastAsia" w:hAnsiTheme="minorEastAsia" w:eastAsiaTheme="minorEastAsia" w:cstheme="minorEastAsia"/>
          <w:kern w:val="2"/>
          <w:sz w:val="28"/>
          <w:szCs w:val="28"/>
          <w:highlight w:val="none"/>
          <w:lang w:val="en-US" w:eastAsia="zh-CN" w:bidi="ar"/>
        </w:rPr>
        <w:t>并在施工现场配置针对各类事故发生时的应急装备和应急物质，确保现场应急装备齐全，用于防范各类突发事故。</w:t>
      </w:r>
    </w:p>
    <w:p w14:paraId="47E1A0AE">
      <w:pPr>
        <w:widowControl/>
        <w:spacing w:line="360" w:lineRule="auto"/>
        <w:ind w:firstLine="560" w:firstLineChars="200"/>
        <w:jc w:val="left"/>
        <w:rPr>
          <w:rFonts w:hint="eastAsia" w:asciiTheme="minorEastAsia" w:hAnsiTheme="minorEastAsia" w:eastAsiaTheme="minorEastAsia" w:cstheme="minorEastAsia"/>
          <w:sz w:val="28"/>
          <w:szCs w:val="28"/>
          <w:highlight w:val="none"/>
          <w:lang w:bidi="ar"/>
        </w:rPr>
      </w:pPr>
      <w:r>
        <w:rPr>
          <w:rFonts w:hint="eastAsia" w:asciiTheme="minorEastAsia" w:hAnsiTheme="minorEastAsia" w:eastAsiaTheme="minorEastAsia" w:cstheme="minorEastAsia"/>
          <w:sz w:val="28"/>
          <w:szCs w:val="28"/>
          <w:highlight w:val="none"/>
          <w:lang w:bidi="ar"/>
        </w:rPr>
        <w:t>6</w:t>
      </w:r>
      <w:r>
        <w:rPr>
          <w:rFonts w:hint="eastAsia" w:asciiTheme="minorEastAsia" w:hAnsiTheme="minorEastAsia" w:eastAsiaTheme="minorEastAsia" w:cstheme="minorEastAsia"/>
          <w:sz w:val="28"/>
          <w:szCs w:val="28"/>
          <w:highlight w:val="none"/>
          <w:lang w:val="en-US" w:eastAsia="zh-CN" w:bidi="ar"/>
        </w:rPr>
        <w:t>.</w:t>
      </w:r>
      <w:r>
        <w:rPr>
          <w:rFonts w:hint="eastAsia" w:asciiTheme="minorEastAsia" w:hAnsiTheme="minorEastAsia" w:eastAsiaTheme="minorEastAsia" w:cstheme="minorEastAsia"/>
          <w:sz w:val="28"/>
          <w:szCs w:val="28"/>
          <w:highlight w:val="none"/>
          <w:lang w:bidi="ar"/>
        </w:rPr>
        <w:t>承包人应对应急预案进行适当演练，保证应急预案的可操作性。</w:t>
      </w:r>
    </w:p>
    <w:p w14:paraId="1B6186E9">
      <w:pPr>
        <w:widowControl/>
        <w:spacing w:line="360" w:lineRule="auto"/>
        <w:ind w:firstLine="560" w:firstLineChars="200"/>
        <w:jc w:val="left"/>
        <w:rPr>
          <w:rFonts w:hint="eastAsia" w:asciiTheme="minorEastAsia" w:hAnsiTheme="minorEastAsia" w:eastAsiaTheme="minorEastAsia" w:cstheme="minorEastAsia"/>
          <w:sz w:val="28"/>
          <w:szCs w:val="28"/>
          <w:highlight w:val="none"/>
          <w:lang w:bidi="ar"/>
        </w:rPr>
      </w:pPr>
      <w:r>
        <w:rPr>
          <w:rFonts w:hint="eastAsia" w:asciiTheme="minorEastAsia" w:hAnsiTheme="minorEastAsia" w:eastAsiaTheme="minorEastAsia" w:cstheme="minorEastAsia"/>
          <w:sz w:val="28"/>
          <w:szCs w:val="28"/>
          <w:highlight w:val="none"/>
          <w:lang w:bidi="ar"/>
        </w:rPr>
        <w:t>7</w:t>
      </w:r>
      <w:r>
        <w:rPr>
          <w:rFonts w:hint="eastAsia" w:asciiTheme="minorEastAsia" w:hAnsiTheme="minorEastAsia" w:eastAsiaTheme="minorEastAsia" w:cstheme="minorEastAsia"/>
          <w:sz w:val="28"/>
          <w:szCs w:val="28"/>
          <w:highlight w:val="none"/>
          <w:lang w:val="en-US" w:eastAsia="zh-CN" w:bidi="ar"/>
        </w:rPr>
        <w:t>.</w:t>
      </w:r>
      <w:r>
        <w:rPr>
          <w:rFonts w:hint="eastAsia" w:asciiTheme="minorEastAsia" w:hAnsiTheme="minorEastAsia" w:eastAsiaTheme="minorEastAsia" w:cstheme="minorEastAsia"/>
          <w:sz w:val="28"/>
          <w:szCs w:val="28"/>
          <w:highlight w:val="none"/>
          <w:lang w:bidi="ar"/>
        </w:rPr>
        <w:t>在工地的其他施工单位发生重大事故时，承包人应无条件立即配合、支持事故抢险。</w:t>
      </w:r>
    </w:p>
    <w:p w14:paraId="799A0816">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8</w:t>
      </w:r>
      <w:r>
        <w:rPr>
          <w:rFonts w:hint="eastAsia" w:asciiTheme="minorEastAsia" w:hAnsiTheme="minorEastAsia" w:eastAsiaTheme="minorEastAsia" w:cstheme="minorEastAsia"/>
          <w:sz w:val="28"/>
          <w:szCs w:val="28"/>
          <w:highlight w:val="none"/>
          <w:lang w:val="en-US" w:eastAsia="zh-CN"/>
        </w:rPr>
        <w:t>.</w:t>
      </w:r>
      <w:r>
        <w:rPr>
          <w:rFonts w:hint="eastAsia" w:asciiTheme="minorEastAsia" w:hAnsiTheme="minorEastAsia" w:eastAsiaTheme="minorEastAsia" w:cstheme="minorEastAsia"/>
          <w:sz w:val="28"/>
          <w:szCs w:val="28"/>
          <w:highlight w:val="none"/>
        </w:rPr>
        <w:t>承包人须为事故处置支付</w:t>
      </w:r>
      <w:r>
        <w:rPr>
          <w:rFonts w:hint="eastAsia" w:asciiTheme="minorEastAsia" w:hAnsiTheme="minorEastAsia" w:eastAsiaTheme="minorEastAsia" w:cstheme="minorEastAsia"/>
          <w:sz w:val="28"/>
          <w:szCs w:val="28"/>
          <w:highlight w:val="none"/>
          <w:lang w:val="en-US" w:eastAsia="zh-CN"/>
        </w:rPr>
        <w:t>或垫付</w:t>
      </w:r>
      <w:r>
        <w:rPr>
          <w:rFonts w:hint="eastAsia" w:asciiTheme="minorEastAsia" w:hAnsiTheme="minorEastAsia" w:eastAsiaTheme="minorEastAsia" w:cstheme="minorEastAsia"/>
          <w:sz w:val="28"/>
          <w:szCs w:val="28"/>
          <w:highlight w:val="none"/>
        </w:rPr>
        <w:t>各项费用，包括受伤者的抚恤、补偿等费用。由于发包人原因而造成的事故，发包人应负责按事故的具体损失情况给予承包人经济赔偿</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由于第三方原因造成的事故，发包人协助承包人向责任方追偿</w:t>
      </w:r>
      <w:r>
        <w:rPr>
          <w:rFonts w:hint="eastAsia" w:asciiTheme="minorEastAsia" w:hAnsiTheme="minorEastAsia" w:eastAsiaTheme="minorEastAsia" w:cstheme="minorEastAsia"/>
          <w:sz w:val="28"/>
          <w:szCs w:val="28"/>
          <w:highlight w:val="none"/>
        </w:rPr>
        <w:t>。</w:t>
      </w:r>
    </w:p>
    <w:p w14:paraId="2C1D9016">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9.</w:t>
      </w:r>
      <w:r>
        <w:rPr>
          <w:rFonts w:hint="eastAsia" w:asciiTheme="minorEastAsia" w:hAnsiTheme="minorEastAsia" w:eastAsiaTheme="minorEastAsia" w:cstheme="minorEastAsia"/>
          <w:sz w:val="28"/>
          <w:szCs w:val="28"/>
          <w:highlight w:val="none"/>
        </w:rPr>
        <w:t>涉及承包人员工的伤害事故，承包人除要报告发包人委托的监理公司外，还应负责按照国家、行业和本单位上级公司的要求，上报事故</w:t>
      </w:r>
      <w:r>
        <w:rPr>
          <w:rFonts w:hint="eastAsia" w:asciiTheme="minorEastAsia" w:hAnsiTheme="minorEastAsia" w:eastAsiaTheme="minorEastAsia" w:cstheme="minorEastAsia"/>
          <w:sz w:val="28"/>
          <w:szCs w:val="28"/>
          <w:highlight w:val="none"/>
          <w:lang w:eastAsia="zh-CN"/>
        </w:rPr>
        <w:t>，</w:t>
      </w:r>
      <w:r>
        <w:rPr>
          <w:rFonts w:hint="default" w:ascii="宋体" w:hAnsi="宋体" w:eastAsia="宋体" w:cs="Times New Roman"/>
          <w:color w:val="auto"/>
          <w:kern w:val="2"/>
          <w:sz w:val="28"/>
          <w:szCs w:val="28"/>
          <w:highlight w:val="none"/>
          <w:lang w:val="en-US" w:eastAsia="zh-CN" w:bidi="ar-SA"/>
        </w:rPr>
        <w:t>不得迟报、漏报、谎报、瞒报。</w:t>
      </w:r>
    </w:p>
    <w:p w14:paraId="1ED27E7E">
      <w:pPr>
        <w:spacing w:line="360" w:lineRule="auto"/>
        <w:ind w:firstLine="560" w:firstLineChars="200"/>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十</w:t>
      </w:r>
      <w:r>
        <w:rPr>
          <w:rFonts w:hint="eastAsia" w:asciiTheme="minorEastAsia" w:hAnsiTheme="minorEastAsia" w:eastAsiaTheme="minorEastAsia" w:cstheme="minorEastAsia"/>
          <w:sz w:val="28"/>
          <w:szCs w:val="28"/>
          <w:highlight w:val="none"/>
          <w:lang w:val="en-US" w:eastAsia="zh-CN"/>
        </w:rPr>
        <w:t>七</w:t>
      </w:r>
      <w:r>
        <w:rPr>
          <w:rFonts w:hint="eastAsia" w:asciiTheme="minorEastAsia" w:hAnsiTheme="minorEastAsia" w:eastAsiaTheme="minorEastAsia" w:cstheme="minorEastAsia"/>
          <w:sz w:val="28"/>
          <w:szCs w:val="28"/>
          <w:highlight w:val="none"/>
        </w:rPr>
        <w:t>、安全业绩考核</w:t>
      </w:r>
    </w:p>
    <w:p w14:paraId="5BA24175">
      <w:pPr>
        <w:spacing w:line="360" w:lineRule="auto"/>
        <w:ind w:firstLine="560" w:firstLineChars="200"/>
        <w:jc w:val="left"/>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发生因承包人承担责任的安全事故</w:t>
      </w:r>
      <w:r>
        <w:rPr>
          <w:rFonts w:hint="eastAsia" w:asciiTheme="minorEastAsia" w:hAnsiTheme="minorEastAsia" w:eastAsiaTheme="minorEastAsia" w:cstheme="minorEastAsia"/>
          <w:sz w:val="28"/>
          <w:szCs w:val="28"/>
          <w:highlight w:val="none"/>
        </w:rPr>
        <w:t>时，承包人除应按国家有关规定承担责任和处罚外，发包人还将按照以下标准进行考核</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eastAsiaTheme="minorEastAsia" w:cstheme="minorEastAsia"/>
          <w:sz w:val="28"/>
          <w:szCs w:val="28"/>
          <w:highlight w:val="none"/>
          <w:lang w:val="en-US" w:eastAsia="zh-CN"/>
        </w:rPr>
        <w:t>并要求乙方按下表要求支付违约金：</w:t>
      </w:r>
    </w:p>
    <w:p w14:paraId="12918813">
      <w:pPr>
        <w:spacing w:line="360" w:lineRule="auto"/>
        <w:ind w:firstLine="560" w:firstLineChars="200"/>
        <w:jc w:val="left"/>
        <w:rPr>
          <w:rFonts w:hint="eastAsia" w:asciiTheme="minorEastAsia" w:hAnsiTheme="minorEastAsia" w:eastAsiaTheme="minorEastAsia" w:cstheme="minorEastAsia"/>
          <w:sz w:val="28"/>
          <w:szCs w:val="28"/>
          <w:highlight w:val="none"/>
          <w:lang w:val="en-US" w:eastAsia="zh-CN"/>
        </w:rPr>
      </w:pPr>
    </w:p>
    <w:tbl>
      <w:tblPr>
        <w:tblStyle w:val="15"/>
        <w:tblW w:w="7005" w:type="dxa"/>
        <w:jc w:val="center"/>
        <w:tblLayout w:type="fixed"/>
        <w:tblCellMar>
          <w:top w:w="0" w:type="dxa"/>
          <w:left w:w="0" w:type="dxa"/>
          <w:bottom w:w="0" w:type="dxa"/>
          <w:right w:w="0" w:type="dxa"/>
        </w:tblCellMar>
      </w:tblPr>
      <w:tblGrid>
        <w:gridCol w:w="3240"/>
        <w:gridCol w:w="3765"/>
      </w:tblGrid>
      <w:tr w14:paraId="341155A0">
        <w:tblPrEx>
          <w:tblCellMar>
            <w:top w:w="0" w:type="dxa"/>
            <w:left w:w="0" w:type="dxa"/>
            <w:bottom w:w="0" w:type="dxa"/>
            <w:right w:w="0" w:type="dxa"/>
          </w:tblCellMar>
        </w:tblPrEx>
        <w:trPr>
          <w:trHeight w:val="188" w:hRule="atLeast"/>
          <w:jc w:val="center"/>
        </w:trPr>
        <w:tc>
          <w:tcPr>
            <w:tcW w:w="324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60BC1AC">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事件类型</w:t>
            </w:r>
          </w:p>
        </w:tc>
        <w:tc>
          <w:tcPr>
            <w:tcW w:w="3765"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7633EDAC">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违约金额</w:t>
            </w:r>
          </w:p>
        </w:tc>
      </w:tr>
      <w:tr w14:paraId="35AAE106">
        <w:tblPrEx>
          <w:tblCellMar>
            <w:top w:w="0" w:type="dxa"/>
            <w:left w:w="0" w:type="dxa"/>
            <w:bottom w:w="0" w:type="dxa"/>
            <w:right w:w="0" w:type="dxa"/>
          </w:tblCellMar>
        </w:tblPrEx>
        <w:trPr>
          <w:trHeight w:val="281" w:hRule="atLeast"/>
          <w:jc w:val="center"/>
        </w:trPr>
        <w:tc>
          <w:tcPr>
            <w:tcW w:w="324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B78D692">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较大事故</w:t>
            </w:r>
          </w:p>
        </w:tc>
        <w:tc>
          <w:tcPr>
            <w:tcW w:w="3765" w:type="dxa"/>
            <w:tcBorders>
              <w:top w:val="single" w:color="auto" w:sz="8" w:space="0"/>
              <w:left w:val="nil"/>
              <w:bottom w:val="single" w:color="auto" w:sz="8" w:space="0"/>
              <w:right w:val="single" w:color="auto" w:sz="8" w:space="0"/>
            </w:tcBorders>
            <w:noWrap w:val="0"/>
            <w:vAlign w:val="center"/>
          </w:tcPr>
          <w:p w14:paraId="372FDE1B">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kern w:val="0"/>
                <w:sz w:val="28"/>
                <w:szCs w:val="28"/>
                <w:highlight w:val="none"/>
              </w:rPr>
              <w:t>签约合同价</w:t>
            </w:r>
            <w:r>
              <w:rPr>
                <w:rFonts w:hint="eastAsia" w:asciiTheme="minorEastAsia" w:hAnsiTheme="minorEastAsia" w:eastAsiaTheme="minorEastAsia" w:cstheme="minorEastAsia"/>
                <w:sz w:val="28"/>
                <w:szCs w:val="28"/>
                <w:highlight w:val="none"/>
              </w:rPr>
              <w:t>的</w:t>
            </w:r>
            <w:r>
              <w:rPr>
                <w:rFonts w:hint="eastAsia" w:asciiTheme="minorEastAsia" w:hAnsiTheme="minorEastAsia" w:eastAsiaTheme="minorEastAsia" w:cstheme="minorEastAsia"/>
                <w:sz w:val="28"/>
                <w:szCs w:val="28"/>
                <w:highlight w:val="none"/>
                <w:lang w:val="en-US" w:eastAsia="zh-CN"/>
              </w:rPr>
              <w:t>10%</w:t>
            </w:r>
          </w:p>
        </w:tc>
      </w:tr>
      <w:tr w14:paraId="4611CCB9">
        <w:tblPrEx>
          <w:tblCellMar>
            <w:top w:w="0" w:type="dxa"/>
            <w:left w:w="0" w:type="dxa"/>
            <w:bottom w:w="0" w:type="dxa"/>
            <w:right w:w="0" w:type="dxa"/>
          </w:tblCellMar>
        </w:tblPrEx>
        <w:trPr>
          <w:trHeight w:val="274" w:hRule="atLeast"/>
          <w:jc w:val="center"/>
        </w:trPr>
        <w:tc>
          <w:tcPr>
            <w:tcW w:w="324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0278DE5">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重大事故</w:t>
            </w:r>
          </w:p>
        </w:tc>
        <w:tc>
          <w:tcPr>
            <w:tcW w:w="3765" w:type="dxa"/>
            <w:tcBorders>
              <w:top w:val="single" w:color="auto" w:sz="8" w:space="0"/>
              <w:left w:val="nil"/>
              <w:bottom w:val="single" w:color="auto" w:sz="8" w:space="0"/>
              <w:right w:val="single" w:color="auto" w:sz="8" w:space="0"/>
            </w:tcBorders>
            <w:noWrap w:val="0"/>
            <w:vAlign w:val="center"/>
          </w:tcPr>
          <w:p w14:paraId="01948C96">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签约合同价的</w:t>
            </w:r>
            <w:r>
              <w:rPr>
                <w:rFonts w:hint="eastAsia" w:asciiTheme="minorEastAsia" w:hAnsiTheme="minorEastAsia" w:eastAsiaTheme="minorEastAsia" w:cstheme="minorEastAsia"/>
                <w:sz w:val="28"/>
                <w:szCs w:val="28"/>
                <w:highlight w:val="none"/>
                <w:lang w:val="en-US" w:eastAsia="zh-CN"/>
              </w:rPr>
              <w:t>20%</w:t>
            </w:r>
          </w:p>
        </w:tc>
      </w:tr>
      <w:tr w14:paraId="5FE27600">
        <w:tblPrEx>
          <w:tblCellMar>
            <w:top w:w="0" w:type="dxa"/>
            <w:left w:w="0" w:type="dxa"/>
            <w:bottom w:w="0" w:type="dxa"/>
            <w:right w:w="0" w:type="dxa"/>
          </w:tblCellMar>
        </w:tblPrEx>
        <w:trPr>
          <w:trHeight w:val="138" w:hRule="atLeast"/>
          <w:jc w:val="center"/>
        </w:trPr>
        <w:tc>
          <w:tcPr>
            <w:tcW w:w="3240"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5AFA18E">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特别重大事故</w:t>
            </w:r>
          </w:p>
        </w:tc>
        <w:tc>
          <w:tcPr>
            <w:tcW w:w="3765" w:type="dxa"/>
            <w:tcBorders>
              <w:top w:val="single" w:color="auto" w:sz="8" w:space="0"/>
              <w:left w:val="nil"/>
              <w:bottom w:val="single" w:color="auto" w:sz="8" w:space="0"/>
              <w:right w:val="single" w:color="auto" w:sz="8" w:space="0"/>
            </w:tcBorders>
            <w:noWrap w:val="0"/>
            <w:vAlign w:val="center"/>
          </w:tcPr>
          <w:p w14:paraId="2B7A32E0">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签约合同价的</w:t>
            </w:r>
            <w:r>
              <w:rPr>
                <w:rFonts w:hint="eastAsia" w:asciiTheme="minorEastAsia" w:hAnsiTheme="minorEastAsia" w:eastAsiaTheme="minorEastAsia" w:cstheme="minorEastAsia"/>
                <w:sz w:val="28"/>
                <w:szCs w:val="28"/>
                <w:highlight w:val="none"/>
                <w:lang w:val="en-US" w:eastAsia="zh-CN"/>
              </w:rPr>
              <w:t>40%</w:t>
            </w:r>
          </w:p>
        </w:tc>
      </w:tr>
    </w:tbl>
    <w:p w14:paraId="23370A84">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（1）较大事故，是指造成3人以上10人以下死亡，或者10人以上50人以下重伤，或者1000万元以上5000万元以下直接经济损失的事故；</w:t>
      </w:r>
    </w:p>
    <w:p w14:paraId="144677C2">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（2）重大事故，是指造成10人以上30人以下死亡，或者50人以上100人以下重伤，或者5000万元以上1亿元以下直接经济损失的事故；</w:t>
      </w:r>
    </w:p>
    <w:p w14:paraId="384A7486">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（3）特别重大事故，是指造成30人以上死亡，或者100人以上重伤（包括急性工业中毒，下同），或者1亿元以上直接经济损失的事故；</w:t>
      </w:r>
    </w:p>
    <w:p w14:paraId="2796B745">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（4）所称的“以上”包括本数，所称的“以下”不包括本数。</w:t>
      </w:r>
    </w:p>
    <w:p w14:paraId="6D825C52">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 xml:space="preserve">发包人委托的监理公司负责对承包人的安全业绩进行考核。每次合同支付前，承包人提交自我安全业绩评估报告，然后交发包人委托的监理公司评价。发包人委托的监理公司在签署评价意见后，将作为合同支付依据之一。 </w:t>
      </w:r>
    </w:p>
    <w:p w14:paraId="082DE979">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十</w:t>
      </w:r>
      <w:r>
        <w:rPr>
          <w:rFonts w:hint="eastAsia" w:asciiTheme="minorEastAsia" w:hAnsiTheme="minorEastAsia" w:eastAsiaTheme="minorEastAsia" w:cstheme="minorEastAsia"/>
          <w:sz w:val="28"/>
          <w:szCs w:val="28"/>
          <w:highlight w:val="none"/>
          <w:lang w:val="en-US" w:eastAsia="zh-CN"/>
        </w:rPr>
        <w:t>八</w:t>
      </w:r>
      <w:r>
        <w:rPr>
          <w:rFonts w:hint="eastAsia" w:asciiTheme="minorEastAsia" w:hAnsiTheme="minorEastAsia" w:eastAsiaTheme="minorEastAsia" w:cstheme="minorEastAsia"/>
          <w:sz w:val="28"/>
          <w:szCs w:val="28"/>
          <w:highlight w:val="none"/>
        </w:rPr>
        <w:t>、协议条款的修订</w:t>
      </w:r>
    </w:p>
    <w:p w14:paraId="75A7DA5D">
      <w:pPr>
        <w:spacing w:line="360" w:lineRule="auto"/>
        <w:ind w:firstLine="560" w:firstLineChars="200"/>
        <w:jc w:val="lef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在项目实施过程中，经双方友好协商，本协议的有关条款也可做出相应的修改。</w:t>
      </w:r>
    </w:p>
    <w:p w14:paraId="338B84BA">
      <w:pPr>
        <w:widowControl/>
        <w:numPr>
          <w:ilvl w:val="0"/>
          <w:numId w:val="6"/>
        </w:numPr>
        <w:spacing w:line="360" w:lineRule="auto"/>
        <w:ind w:firstLine="560" w:firstLineChars="200"/>
        <w:jc w:val="left"/>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工程项目安全文明施工问题处罚表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3"/>
        <w:gridCol w:w="5520"/>
        <w:gridCol w:w="1211"/>
        <w:gridCol w:w="1482"/>
      </w:tblGrid>
      <w:tr w14:paraId="7AF95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43" w:type="dxa"/>
            <w:vMerge w:val="restart"/>
            <w:vAlign w:val="center"/>
          </w:tcPr>
          <w:p w14:paraId="67E26B61">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序号</w:t>
            </w:r>
          </w:p>
        </w:tc>
        <w:tc>
          <w:tcPr>
            <w:tcW w:w="5520" w:type="dxa"/>
            <w:vMerge w:val="restart"/>
            <w:vAlign w:val="center"/>
          </w:tcPr>
          <w:p w14:paraId="4E609F2B">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ascii="宋体" w:hAnsi="宋体" w:eastAsia="宋体" w:cs="宋体"/>
                <w:sz w:val="24"/>
                <w:szCs w:val="24"/>
                <w:highlight w:val="none"/>
              </w:rPr>
              <w:t>存在隐患/问题/违章行为</w:t>
            </w:r>
          </w:p>
        </w:tc>
        <w:tc>
          <w:tcPr>
            <w:tcW w:w="2693" w:type="dxa"/>
            <w:gridSpan w:val="2"/>
            <w:vAlign w:val="center"/>
          </w:tcPr>
          <w:p w14:paraId="7B892D42">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ascii="宋体" w:hAnsi="宋体" w:eastAsia="宋体" w:cs="宋体"/>
                <w:sz w:val="24"/>
                <w:szCs w:val="24"/>
                <w:highlight w:val="none"/>
              </w:rPr>
              <w:t>处罚标准</w:t>
            </w:r>
          </w:p>
        </w:tc>
      </w:tr>
      <w:tr w14:paraId="15651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643" w:type="dxa"/>
            <w:vMerge w:val="continue"/>
            <w:vAlign w:val="center"/>
          </w:tcPr>
          <w:p w14:paraId="15616DBE">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p>
        </w:tc>
        <w:tc>
          <w:tcPr>
            <w:tcW w:w="5520" w:type="dxa"/>
            <w:vMerge w:val="continue"/>
            <w:vAlign w:val="center"/>
          </w:tcPr>
          <w:p w14:paraId="4B86BEB9">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p>
        </w:tc>
        <w:tc>
          <w:tcPr>
            <w:tcW w:w="1211" w:type="dxa"/>
            <w:vAlign w:val="center"/>
          </w:tcPr>
          <w:p w14:paraId="5E53982D">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ascii="宋体" w:hAnsi="宋体" w:eastAsia="宋体" w:cs="宋体"/>
                <w:sz w:val="24"/>
                <w:szCs w:val="24"/>
                <w:highlight w:val="none"/>
              </w:rPr>
              <w:t>首次发生</w:t>
            </w:r>
          </w:p>
        </w:tc>
        <w:tc>
          <w:tcPr>
            <w:tcW w:w="1482" w:type="dxa"/>
            <w:vAlign w:val="center"/>
          </w:tcPr>
          <w:p w14:paraId="2166868F">
            <w:pPr>
              <w:numPr>
                <w:ilvl w:val="-1"/>
                <w:numId w:val="0"/>
              </w:numPr>
              <w:spacing w:line="360" w:lineRule="auto"/>
              <w:jc w:val="both"/>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4"/>
                <w:szCs w:val="24"/>
                <w:highlight w:val="none"/>
                <w:vertAlign w:val="baseline"/>
                <w:lang w:val="en-US" w:eastAsia="zh-CN"/>
              </w:rPr>
              <w:t>拒不整改或再次发生</w:t>
            </w:r>
          </w:p>
        </w:tc>
      </w:tr>
      <w:tr w14:paraId="44F84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26D75126">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w:t>
            </w:r>
          </w:p>
        </w:tc>
        <w:tc>
          <w:tcPr>
            <w:tcW w:w="5520" w:type="dxa"/>
          </w:tcPr>
          <w:p w14:paraId="643E2251">
            <w:pPr>
              <w:numPr>
                <w:ilvl w:val="-1"/>
                <w:numId w:val="0"/>
              </w:numPr>
              <w:spacing w:line="360" w:lineRule="auto"/>
              <w:jc w:val="left"/>
              <w:rPr>
                <w:rFonts w:hint="eastAsia" w:eastAsia="宋体" w:asciiTheme="minorEastAsia" w:hAnsiTheme="minorEastAsia" w:cstheme="minorEastAsia"/>
                <w:sz w:val="28"/>
                <w:szCs w:val="28"/>
                <w:highlight w:val="none"/>
                <w:vertAlign w:val="baseline"/>
                <w:lang w:val="en-US" w:eastAsia="zh-CN"/>
              </w:rPr>
            </w:pPr>
            <w:r>
              <w:rPr>
                <w:rFonts w:ascii="宋体" w:hAnsi="宋体" w:eastAsia="宋体" w:cs="宋体"/>
                <w:sz w:val="24"/>
                <w:szCs w:val="24"/>
                <w:highlight w:val="none"/>
              </w:rPr>
              <w:t>因</w:t>
            </w:r>
            <w:r>
              <w:rPr>
                <w:rFonts w:hint="eastAsia" w:ascii="宋体" w:hAnsi="宋体" w:eastAsia="宋体" w:cs="宋体"/>
                <w:sz w:val="24"/>
                <w:szCs w:val="24"/>
                <w:highlight w:val="none"/>
                <w:lang w:val="en-US" w:eastAsia="zh-CN"/>
              </w:rPr>
              <w:t>承包人</w:t>
            </w:r>
            <w:r>
              <w:rPr>
                <w:rFonts w:ascii="宋体" w:hAnsi="宋体" w:eastAsia="宋体" w:cs="宋体"/>
                <w:sz w:val="24"/>
                <w:szCs w:val="24"/>
                <w:highlight w:val="none"/>
              </w:rPr>
              <w:t>原因未购买建筑工程一切险及第三者责任险，或保 险不符合安全交底文件要求</w:t>
            </w:r>
            <w:r>
              <w:rPr>
                <w:rFonts w:hint="eastAsia" w:ascii="宋体" w:hAnsi="宋体" w:eastAsia="宋体" w:cs="宋体"/>
                <w:sz w:val="24"/>
                <w:szCs w:val="24"/>
                <w:highlight w:val="none"/>
                <w:lang w:eastAsia="zh-CN"/>
              </w:rPr>
              <w:t>。</w:t>
            </w:r>
          </w:p>
        </w:tc>
        <w:tc>
          <w:tcPr>
            <w:tcW w:w="1211" w:type="dxa"/>
            <w:vAlign w:val="center"/>
          </w:tcPr>
          <w:p w14:paraId="03D3EA46">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ascii="宋体" w:hAnsi="宋体" w:eastAsia="宋体" w:cs="宋体"/>
                <w:sz w:val="24"/>
                <w:szCs w:val="24"/>
                <w:highlight w:val="none"/>
              </w:rPr>
              <w:t>1000</w:t>
            </w:r>
          </w:p>
        </w:tc>
        <w:tc>
          <w:tcPr>
            <w:tcW w:w="1482" w:type="dxa"/>
            <w:vAlign w:val="center"/>
          </w:tcPr>
          <w:p w14:paraId="46C825AF">
            <w:pPr>
              <w:numPr>
                <w:ilvl w:val="-1"/>
                <w:numId w:val="0"/>
              </w:numPr>
              <w:spacing w:line="360" w:lineRule="auto"/>
              <w:jc w:val="center"/>
              <w:rPr>
                <w:rFonts w:hint="eastAsia"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5000或</w:t>
            </w:r>
          </w:p>
          <w:p w14:paraId="2E986A3E">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停工整改</w:t>
            </w:r>
          </w:p>
        </w:tc>
      </w:tr>
      <w:tr w14:paraId="599C6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5421AB2D">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w:t>
            </w:r>
          </w:p>
        </w:tc>
        <w:tc>
          <w:tcPr>
            <w:tcW w:w="5520" w:type="dxa"/>
          </w:tcPr>
          <w:p w14:paraId="3FAC2C2A">
            <w:pPr>
              <w:numPr>
                <w:ilvl w:val="-1"/>
                <w:numId w:val="0"/>
              </w:numPr>
              <w:spacing w:line="360" w:lineRule="auto"/>
              <w:jc w:val="left"/>
              <w:rPr>
                <w:rFonts w:hint="eastAsia" w:eastAsia="宋体" w:asciiTheme="minorEastAsia" w:hAnsiTheme="minorEastAsia" w:cstheme="minorEastAsia"/>
                <w:sz w:val="28"/>
                <w:szCs w:val="28"/>
                <w:highlight w:val="none"/>
                <w:vertAlign w:val="baseline"/>
                <w:lang w:val="en-US" w:eastAsia="zh-CN"/>
              </w:rPr>
            </w:pPr>
            <w:r>
              <w:rPr>
                <w:rFonts w:hint="eastAsia" w:ascii="宋体" w:hAnsi="宋体" w:eastAsia="宋体" w:cs="宋体"/>
                <w:sz w:val="24"/>
                <w:szCs w:val="24"/>
                <w:highlight w:val="none"/>
                <w:lang w:val="en-US" w:eastAsia="zh-CN"/>
              </w:rPr>
              <w:t>承包人</w:t>
            </w:r>
            <w:r>
              <w:rPr>
                <w:rFonts w:ascii="宋体" w:hAnsi="宋体" w:eastAsia="宋体" w:cs="宋体"/>
                <w:sz w:val="24"/>
                <w:szCs w:val="24"/>
                <w:highlight w:val="none"/>
              </w:rPr>
              <w:t>未建立健全安全责任制度，层层落实充电场站建设安全责任</w:t>
            </w:r>
            <w:r>
              <w:rPr>
                <w:rFonts w:hint="eastAsia" w:ascii="宋体" w:hAnsi="宋体" w:eastAsia="宋体" w:cs="宋体"/>
                <w:sz w:val="24"/>
                <w:szCs w:val="24"/>
                <w:highlight w:val="none"/>
                <w:lang w:eastAsia="zh-CN"/>
              </w:rPr>
              <w:t>。</w:t>
            </w:r>
          </w:p>
        </w:tc>
        <w:tc>
          <w:tcPr>
            <w:tcW w:w="1211" w:type="dxa"/>
            <w:vAlign w:val="center"/>
          </w:tcPr>
          <w:p w14:paraId="6D2C22E5">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ascii="宋体" w:hAnsi="宋体" w:eastAsia="宋体" w:cs="宋体"/>
                <w:sz w:val="24"/>
                <w:szCs w:val="24"/>
                <w:highlight w:val="none"/>
              </w:rPr>
              <w:t>1000</w:t>
            </w:r>
          </w:p>
        </w:tc>
        <w:tc>
          <w:tcPr>
            <w:tcW w:w="1482" w:type="dxa"/>
            <w:vAlign w:val="center"/>
          </w:tcPr>
          <w:p w14:paraId="047E35B1">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停工整改</w:t>
            </w:r>
          </w:p>
        </w:tc>
      </w:tr>
      <w:tr w14:paraId="46936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684EE5DB">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3</w:t>
            </w:r>
          </w:p>
        </w:tc>
        <w:tc>
          <w:tcPr>
            <w:tcW w:w="5520" w:type="dxa"/>
          </w:tcPr>
          <w:p w14:paraId="6911F048">
            <w:pPr>
              <w:numPr>
                <w:ilvl w:val="-1"/>
                <w:numId w:val="0"/>
              </w:numPr>
              <w:spacing w:line="360" w:lineRule="auto"/>
              <w:jc w:val="left"/>
              <w:rPr>
                <w:rFonts w:hint="default" w:asciiTheme="minorEastAsia" w:hAnsiTheme="minorEastAsia" w:eastAsiaTheme="minorEastAsia" w:cstheme="minorEastAsia"/>
                <w:sz w:val="28"/>
                <w:szCs w:val="28"/>
                <w:highlight w:val="none"/>
                <w:vertAlign w:val="baseline"/>
                <w:lang w:val="en-US" w:eastAsia="zh-CN"/>
              </w:rPr>
            </w:pPr>
            <w:r>
              <w:rPr>
                <w:rFonts w:hint="eastAsia" w:ascii="宋体" w:hAnsi="宋体" w:eastAsia="宋体" w:cs="宋体"/>
                <w:sz w:val="24"/>
                <w:szCs w:val="24"/>
                <w:highlight w:val="none"/>
                <w:lang w:val="en-US" w:eastAsia="zh-CN"/>
              </w:rPr>
              <w:t>承包人</w:t>
            </w:r>
            <w:r>
              <w:rPr>
                <w:rFonts w:ascii="宋体" w:hAnsi="宋体" w:eastAsia="宋体" w:cs="宋体"/>
                <w:sz w:val="24"/>
                <w:szCs w:val="24"/>
                <w:highlight w:val="none"/>
              </w:rPr>
              <w:t>未为项目依法配备安全员。安全员未持证上岗，或人证不一致</w:t>
            </w:r>
          </w:p>
        </w:tc>
        <w:tc>
          <w:tcPr>
            <w:tcW w:w="1211" w:type="dxa"/>
            <w:vAlign w:val="center"/>
          </w:tcPr>
          <w:p w14:paraId="0F5C84D1">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ascii="宋体" w:hAnsi="宋体" w:eastAsia="宋体" w:cs="宋体"/>
                <w:sz w:val="24"/>
                <w:szCs w:val="24"/>
                <w:highlight w:val="none"/>
              </w:rPr>
              <w:t>1000</w:t>
            </w:r>
          </w:p>
        </w:tc>
        <w:tc>
          <w:tcPr>
            <w:tcW w:w="1482" w:type="dxa"/>
            <w:vAlign w:val="center"/>
          </w:tcPr>
          <w:p w14:paraId="54B90713">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停工整改</w:t>
            </w:r>
          </w:p>
        </w:tc>
      </w:tr>
      <w:tr w14:paraId="53DBF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7D9672D9">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4</w:t>
            </w:r>
          </w:p>
        </w:tc>
        <w:tc>
          <w:tcPr>
            <w:tcW w:w="5520" w:type="dxa"/>
          </w:tcPr>
          <w:p w14:paraId="16D441FB">
            <w:pPr>
              <w:numPr>
                <w:ilvl w:val="-1"/>
                <w:numId w:val="0"/>
              </w:numPr>
              <w:spacing w:line="360" w:lineRule="auto"/>
              <w:jc w:val="left"/>
              <w:rPr>
                <w:rFonts w:hint="eastAsia" w:eastAsia="宋体" w:asciiTheme="minorEastAsia" w:hAnsiTheme="minorEastAsia" w:cstheme="minorEastAsia"/>
                <w:sz w:val="28"/>
                <w:szCs w:val="28"/>
                <w:highlight w:val="none"/>
                <w:vertAlign w:val="baseline"/>
                <w:lang w:val="en-US" w:eastAsia="zh-CN"/>
              </w:rPr>
            </w:pPr>
            <w:r>
              <w:rPr>
                <w:rFonts w:hint="eastAsia" w:ascii="宋体" w:hAnsi="宋体" w:eastAsia="宋体" w:cs="宋体"/>
                <w:sz w:val="24"/>
                <w:szCs w:val="24"/>
                <w:highlight w:val="none"/>
                <w:lang w:val="en-US" w:eastAsia="zh-CN"/>
              </w:rPr>
              <w:t>承包人</w:t>
            </w:r>
            <w:r>
              <w:rPr>
                <w:rFonts w:ascii="宋体" w:hAnsi="宋体" w:eastAsia="宋体" w:cs="宋体"/>
                <w:sz w:val="24"/>
                <w:szCs w:val="24"/>
                <w:highlight w:val="none"/>
              </w:rPr>
              <w:t>未建立健全安全环保规章制度、安全操作规程和事故应急预案</w:t>
            </w:r>
            <w:r>
              <w:rPr>
                <w:rFonts w:hint="eastAsia" w:ascii="宋体" w:hAnsi="宋体" w:eastAsia="宋体" w:cs="宋体"/>
                <w:sz w:val="24"/>
                <w:szCs w:val="24"/>
                <w:highlight w:val="none"/>
                <w:lang w:eastAsia="zh-CN"/>
              </w:rPr>
              <w:t>。</w:t>
            </w:r>
          </w:p>
        </w:tc>
        <w:tc>
          <w:tcPr>
            <w:tcW w:w="1211" w:type="dxa"/>
            <w:vAlign w:val="center"/>
          </w:tcPr>
          <w:p w14:paraId="7AEBC54B">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ascii="宋体" w:hAnsi="宋体" w:eastAsia="宋体" w:cs="宋体"/>
                <w:sz w:val="24"/>
                <w:szCs w:val="24"/>
                <w:highlight w:val="none"/>
              </w:rPr>
              <w:t>1000</w:t>
            </w:r>
          </w:p>
        </w:tc>
        <w:tc>
          <w:tcPr>
            <w:tcW w:w="1482" w:type="dxa"/>
            <w:vAlign w:val="center"/>
          </w:tcPr>
          <w:p w14:paraId="30549B4D">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停工整改</w:t>
            </w:r>
          </w:p>
        </w:tc>
      </w:tr>
      <w:tr w14:paraId="3A1F8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492C008A">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w:t>
            </w:r>
          </w:p>
        </w:tc>
        <w:tc>
          <w:tcPr>
            <w:tcW w:w="5520" w:type="dxa"/>
          </w:tcPr>
          <w:p w14:paraId="590D2D47">
            <w:pPr>
              <w:numPr>
                <w:ilvl w:val="-1"/>
                <w:numId w:val="0"/>
              </w:numPr>
              <w:spacing w:line="360" w:lineRule="auto"/>
              <w:jc w:val="left"/>
              <w:rPr>
                <w:rFonts w:hint="eastAsia" w:eastAsia="宋体" w:asciiTheme="minorEastAsia" w:hAnsiTheme="minorEastAsia" w:cstheme="minorEastAsia"/>
                <w:sz w:val="28"/>
                <w:szCs w:val="28"/>
                <w:highlight w:val="none"/>
                <w:vertAlign w:val="baseline"/>
                <w:lang w:val="en-US" w:eastAsia="zh-CN"/>
              </w:rPr>
            </w:pPr>
            <w:r>
              <w:rPr>
                <w:rFonts w:hint="eastAsia" w:ascii="宋体" w:hAnsi="宋体" w:eastAsia="宋体" w:cs="宋体"/>
                <w:sz w:val="24"/>
                <w:szCs w:val="24"/>
                <w:highlight w:val="none"/>
                <w:lang w:val="en-US" w:eastAsia="zh-CN"/>
              </w:rPr>
              <w:t>承包人</w:t>
            </w:r>
            <w:r>
              <w:rPr>
                <w:rFonts w:ascii="宋体" w:hAnsi="宋体" w:eastAsia="宋体" w:cs="宋体"/>
                <w:sz w:val="24"/>
                <w:szCs w:val="24"/>
                <w:highlight w:val="none"/>
              </w:rPr>
              <w:t>未结合本工程特点和现场实际情况编制可靠、适用的施工技术安全措施，或各项安全措施未落实</w:t>
            </w:r>
            <w:r>
              <w:rPr>
                <w:rFonts w:hint="eastAsia" w:ascii="宋体" w:hAnsi="宋体" w:eastAsia="宋体" w:cs="宋体"/>
                <w:sz w:val="24"/>
                <w:szCs w:val="24"/>
                <w:highlight w:val="none"/>
                <w:lang w:eastAsia="zh-CN"/>
              </w:rPr>
              <w:t>。</w:t>
            </w:r>
          </w:p>
        </w:tc>
        <w:tc>
          <w:tcPr>
            <w:tcW w:w="1211" w:type="dxa"/>
            <w:vAlign w:val="center"/>
          </w:tcPr>
          <w:p w14:paraId="09AAB899">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ascii="宋体" w:hAnsi="宋体" w:eastAsia="宋体" w:cs="宋体"/>
                <w:sz w:val="24"/>
                <w:szCs w:val="24"/>
                <w:highlight w:val="none"/>
              </w:rPr>
              <w:t>1000</w:t>
            </w:r>
          </w:p>
        </w:tc>
        <w:tc>
          <w:tcPr>
            <w:tcW w:w="1482" w:type="dxa"/>
            <w:vAlign w:val="center"/>
          </w:tcPr>
          <w:p w14:paraId="574B92E3">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停工整改</w:t>
            </w:r>
          </w:p>
        </w:tc>
      </w:tr>
      <w:tr w14:paraId="3A57E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3D824104">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6</w:t>
            </w:r>
          </w:p>
        </w:tc>
        <w:tc>
          <w:tcPr>
            <w:tcW w:w="5520" w:type="dxa"/>
          </w:tcPr>
          <w:p w14:paraId="4F99CECD">
            <w:pPr>
              <w:numPr>
                <w:ilvl w:val="-1"/>
                <w:numId w:val="0"/>
              </w:numPr>
              <w:spacing w:line="360" w:lineRule="auto"/>
              <w:jc w:val="left"/>
              <w:rPr>
                <w:rFonts w:hint="eastAsia" w:eastAsia="宋体" w:asciiTheme="minorEastAsia" w:hAnsiTheme="minorEastAsia" w:cstheme="minorEastAsia"/>
                <w:sz w:val="28"/>
                <w:szCs w:val="28"/>
                <w:highlight w:val="none"/>
                <w:vertAlign w:val="baseline"/>
                <w:lang w:val="en-US" w:eastAsia="zh-CN"/>
              </w:rPr>
            </w:pPr>
            <w:r>
              <w:rPr>
                <w:rFonts w:hint="eastAsia" w:ascii="宋体" w:hAnsi="宋体" w:eastAsia="宋体" w:cs="宋体"/>
                <w:sz w:val="24"/>
                <w:szCs w:val="24"/>
                <w:highlight w:val="none"/>
                <w:lang w:val="en-US" w:eastAsia="zh-CN"/>
              </w:rPr>
              <w:t>承包人</w:t>
            </w:r>
            <w:r>
              <w:rPr>
                <w:rFonts w:ascii="宋体" w:hAnsi="宋体" w:eastAsia="宋体" w:cs="宋体"/>
                <w:sz w:val="24"/>
                <w:szCs w:val="24"/>
                <w:highlight w:val="none"/>
              </w:rPr>
              <w:t>未针对起重吊装、动火作业、电工作业、高处作业</w:t>
            </w:r>
            <w:r>
              <w:rPr>
                <w:rFonts w:hint="eastAsia" w:ascii="宋体" w:hAnsi="宋体" w:eastAsia="宋体" w:cs="宋体"/>
                <w:sz w:val="24"/>
                <w:szCs w:val="24"/>
                <w:highlight w:val="none"/>
                <w:lang w:eastAsia="zh-CN"/>
              </w:rPr>
              <w:t>、</w:t>
            </w:r>
            <w:r>
              <w:rPr>
                <w:rFonts w:ascii="宋体" w:hAnsi="宋体" w:eastAsia="宋体" w:cs="宋体"/>
                <w:sz w:val="24"/>
                <w:szCs w:val="24"/>
                <w:highlight w:val="none"/>
              </w:rPr>
              <w:t>土方开挖、有限空间作业等特种作业项目编制专项施工技术安 全方案，或专项施工技术安全方案未落实</w:t>
            </w:r>
            <w:r>
              <w:rPr>
                <w:rFonts w:hint="eastAsia" w:ascii="宋体" w:hAnsi="宋体" w:eastAsia="宋体" w:cs="宋体"/>
                <w:sz w:val="24"/>
                <w:szCs w:val="24"/>
                <w:highlight w:val="none"/>
                <w:lang w:eastAsia="zh-CN"/>
              </w:rPr>
              <w:t>。</w:t>
            </w:r>
          </w:p>
        </w:tc>
        <w:tc>
          <w:tcPr>
            <w:tcW w:w="1211" w:type="dxa"/>
            <w:vAlign w:val="center"/>
          </w:tcPr>
          <w:p w14:paraId="07F1722C">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ascii="宋体" w:hAnsi="宋体" w:eastAsia="宋体" w:cs="宋体"/>
                <w:sz w:val="24"/>
                <w:szCs w:val="24"/>
                <w:highlight w:val="none"/>
              </w:rPr>
              <w:t>1000</w:t>
            </w:r>
          </w:p>
        </w:tc>
        <w:tc>
          <w:tcPr>
            <w:tcW w:w="1482" w:type="dxa"/>
            <w:vAlign w:val="center"/>
          </w:tcPr>
          <w:p w14:paraId="2A99B697">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停工整改</w:t>
            </w:r>
          </w:p>
        </w:tc>
      </w:tr>
      <w:tr w14:paraId="7AC1D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6DE3A993">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7</w:t>
            </w:r>
          </w:p>
        </w:tc>
        <w:tc>
          <w:tcPr>
            <w:tcW w:w="5520" w:type="dxa"/>
          </w:tcPr>
          <w:p w14:paraId="3EFF6033">
            <w:pPr>
              <w:numPr>
                <w:ilvl w:val="-1"/>
                <w:numId w:val="0"/>
              </w:numPr>
              <w:spacing w:line="360" w:lineRule="auto"/>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承包人</w:t>
            </w:r>
            <w:r>
              <w:rPr>
                <w:rFonts w:ascii="宋体" w:hAnsi="宋体" w:eastAsia="宋体" w:cs="宋体"/>
                <w:sz w:val="24"/>
                <w:szCs w:val="24"/>
                <w:highlight w:val="none"/>
              </w:rPr>
              <w:t>作业前未对所有作业人员进行安全、环保、文明施工相关教育培训和安全技术交底</w:t>
            </w:r>
            <w:r>
              <w:rPr>
                <w:rFonts w:hint="eastAsia" w:ascii="宋体" w:hAnsi="宋体" w:eastAsia="宋体" w:cs="宋体"/>
                <w:sz w:val="24"/>
                <w:szCs w:val="24"/>
                <w:highlight w:val="none"/>
                <w:lang w:eastAsia="zh-CN"/>
              </w:rPr>
              <w:t>。</w:t>
            </w:r>
          </w:p>
        </w:tc>
        <w:tc>
          <w:tcPr>
            <w:tcW w:w="1211" w:type="dxa"/>
            <w:vAlign w:val="center"/>
          </w:tcPr>
          <w:p w14:paraId="6688CCB9">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c>
          <w:tcPr>
            <w:tcW w:w="1482" w:type="dxa"/>
            <w:vAlign w:val="center"/>
          </w:tcPr>
          <w:p w14:paraId="17BA4E2F">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ascii="宋体" w:hAnsi="宋体" w:eastAsia="宋体" w:cs="宋体"/>
                <w:sz w:val="24"/>
                <w:szCs w:val="24"/>
                <w:highlight w:val="none"/>
              </w:rPr>
              <w:t>停工整改</w:t>
            </w:r>
          </w:p>
        </w:tc>
      </w:tr>
      <w:tr w14:paraId="6F3C6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50F45D7C">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8</w:t>
            </w:r>
          </w:p>
        </w:tc>
        <w:tc>
          <w:tcPr>
            <w:tcW w:w="5520" w:type="dxa"/>
          </w:tcPr>
          <w:p w14:paraId="7D14408F">
            <w:pPr>
              <w:numPr>
                <w:ilvl w:val="-1"/>
                <w:numId w:val="0"/>
              </w:numPr>
              <w:spacing w:line="360" w:lineRule="auto"/>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承包人</w:t>
            </w:r>
            <w:r>
              <w:rPr>
                <w:rFonts w:ascii="宋体" w:hAnsi="宋体" w:eastAsia="宋体" w:cs="宋体"/>
                <w:sz w:val="24"/>
                <w:szCs w:val="24"/>
                <w:highlight w:val="none"/>
              </w:rPr>
              <w:t>未定期组织安全、环保、文明施工检查，并整改问题和隐患</w:t>
            </w:r>
            <w:r>
              <w:rPr>
                <w:rFonts w:hint="eastAsia" w:ascii="宋体" w:hAnsi="宋体" w:eastAsia="宋体" w:cs="宋体"/>
                <w:sz w:val="24"/>
                <w:szCs w:val="24"/>
                <w:highlight w:val="none"/>
                <w:lang w:eastAsia="zh-CN"/>
              </w:rPr>
              <w:t>。</w:t>
            </w:r>
          </w:p>
        </w:tc>
        <w:tc>
          <w:tcPr>
            <w:tcW w:w="1211" w:type="dxa"/>
            <w:vAlign w:val="center"/>
          </w:tcPr>
          <w:p w14:paraId="5B10BA25">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c>
          <w:tcPr>
            <w:tcW w:w="1482" w:type="dxa"/>
            <w:vAlign w:val="center"/>
          </w:tcPr>
          <w:p w14:paraId="64E40453">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2000</w:t>
            </w:r>
          </w:p>
        </w:tc>
      </w:tr>
      <w:tr w14:paraId="04FF8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44D05A89">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9</w:t>
            </w:r>
          </w:p>
        </w:tc>
        <w:tc>
          <w:tcPr>
            <w:tcW w:w="5520" w:type="dxa"/>
          </w:tcPr>
          <w:p w14:paraId="195EAC67">
            <w:pPr>
              <w:numPr>
                <w:ilvl w:val="-1"/>
                <w:numId w:val="0"/>
              </w:num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承包人</w:t>
            </w:r>
            <w:r>
              <w:rPr>
                <w:rFonts w:ascii="宋体" w:hAnsi="宋体" w:eastAsia="宋体" w:cs="宋体"/>
                <w:sz w:val="24"/>
                <w:szCs w:val="24"/>
                <w:highlight w:val="none"/>
              </w:rPr>
              <w:t>未按</w:t>
            </w:r>
            <w:r>
              <w:rPr>
                <w:rFonts w:hint="eastAsia" w:ascii="宋体" w:hAnsi="宋体" w:eastAsia="宋体" w:cs="宋体"/>
                <w:sz w:val="24"/>
                <w:szCs w:val="24"/>
                <w:highlight w:val="none"/>
                <w:lang w:val="en-US" w:eastAsia="zh-CN"/>
              </w:rPr>
              <w:t>本合同</w:t>
            </w:r>
            <w:r>
              <w:rPr>
                <w:rFonts w:ascii="宋体" w:hAnsi="宋体" w:eastAsia="宋体" w:cs="宋体"/>
                <w:sz w:val="24"/>
                <w:szCs w:val="24"/>
                <w:highlight w:val="none"/>
              </w:rPr>
              <w:t>要求配置安全标识。</w:t>
            </w:r>
          </w:p>
        </w:tc>
        <w:tc>
          <w:tcPr>
            <w:tcW w:w="1211" w:type="dxa"/>
            <w:vAlign w:val="center"/>
          </w:tcPr>
          <w:p w14:paraId="489A6F0C">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c>
          <w:tcPr>
            <w:tcW w:w="1482" w:type="dxa"/>
            <w:vAlign w:val="center"/>
          </w:tcPr>
          <w:p w14:paraId="17C4C787">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2000</w:t>
            </w:r>
          </w:p>
        </w:tc>
      </w:tr>
      <w:tr w14:paraId="48C4E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4304D222">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w:t>
            </w:r>
          </w:p>
        </w:tc>
        <w:tc>
          <w:tcPr>
            <w:tcW w:w="5520" w:type="dxa"/>
          </w:tcPr>
          <w:p w14:paraId="2BD52CAD">
            <w:pPr>
              <w:numPr>
                <w:ilvl w:val="-1"/>
                <w:numId w:val="0"/>
              </w:num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承包人</w:t>
            </w:r>
            <w:r>
              <w:rPr>
                <w:rFonts w:ascii="宋体" w:hAnsi="宋体" w:eastAsia="宋体" w:cs="宋体"/>
                <w:sz w:val="24"/>
                <w:szCs w:val="24"/>
                <w:highlight w:val="none"/>
              </w:rPr>
              <w:t>未按</w:t>
            </w:r>
            <w:r>
              <w:rPr>
                <w:rFonts w:hint="eastAsia" w:ascii="宋体" w:hAnsi="宋体" w:eastAsia="宋体" w:cs="宋体"/>
                <w:sz w:val="24"/>
                <w:szCs w:val="24"/>
                <w:highlight w:val="none"/>
                <w:lang w:val="en-US" w:eastAsia="zh-CN"/>
              </w:rPr>
              <w:t>本合同</w:t>
            </w:r>
            <w:r>
              <w:rPr>
                <w:rFonts w:ascii="宋体" w:hAnsi="宋体" w:eastAsia="宋体" w:cs="宋体"/>
                <w:sz w:val="24"/>
                <w:szCs w:val="24"/>
                <w:highlight w:val="none"/>
              </w:rPr>
              <w:t>要求设置围挡。</w:t>
            </w:r>
          </w:p>
        </w:tc>
        <w:tc>
          <w:tcPr>
            <w:tcW w:w="1211" w:type="dxa"/>
            <w:vAlign w:val="center"/>
          </w:tcPr>
          <w:p w14:paraId="1BC9AC4B">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1000</w:t>
            </w:r>
          </w:p>
        </w:tc>
        <w:tc>
          <w:tcPr>
            <w:tcW w:w="1482" w:type="dxa"/>
            <w:vAlign w:val="center"/>
          </w:tcPr>
          <w:p w14:paraId="1541BC38">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5000或停工整改</w:t>
            </w:r>
          </w:p>
        </w:tc>
      </w:tr>
      <w:tr w14:paraId="17244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3E2AE152">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11</w:t>
            </w:r>
          </w:p>
        </w:tc>
        <w:tc>
          <w:tcPr>
            <w:tcW w:w="5520" w:type="dxa"/>
          </w:tcPr>
          <w:p w14:paraId="2E653A8A">
            <w:pPr>
              <w:numPr>
                <w:ilvl w:val="-1"/>
                <w:numId w:val="0"/>
              </w:num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承包人</w:t>
            </w:r>
            <w:r>
              <w:rPr>
                <w:rFonts w:ascii="宋体" w:hAnsi="宋体" w:eastAsia="宋体" w:cs="宋体"/>
                <w:sz w:val="24"/>
                <w:szCs w:val="24"/>
                <w:highlight w:val="none"/>
              </w:rPr>
              <w:t>未</w:t>
            </w:r>
            <w:r>
              <w:rPr>
                <w:rFonts w:hint="eastAsia" w:ascii="宋体" w:hAnsi="宋体" w:eastAsia="宋体" w:cs="宋体"/>
                <w:sz w:val="24"/>
                <w:szCs w:val="24"/>
                <w:highlight w:val="none"/>
                <w:lang w:val="en-US" w:eastAsia="zh-CN"/>
              </w:rPr>
              <w:t>按本合同</w:t>
            </w:r>
            <w:r>
              <w:rPr>
                <w:rFonts w:ascii="宋体" w:hAnsi="宋体" w:eastAsia="宋体" w:cs="宋体"/>
                <w:sz w:val="24"/>
                <w:szCs w:val="24"/>
                <w:highlight w:val="none"/>
              </w:rPr>
              <w:t>要求为施工人员配置个人防护用品。</w:t>
            </w:r>
          </w:p>
        </w:tc>
        <w:tc>
          <w:tcPr>
            <w:tcW w:w="1211" w:type="dxa"/>
            <w:vAlign w:val="center"/>
          </w:tcPr>
          <w:p w14:paraId="5C220C84">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1000</w:t>
            </w:r>
          </w:p>
        </w:tc>
        <w:tc>
          <w:tcPr>
            <w:tcW w:w="1482" w:type="dxa"/>
            <w:vAlign w:val="center"/>
          </w:tcPr>
          <w:p w14:paraId="717CEBEC">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5000或停工整改</w:t>
            </w:r>
          </w:p>
        </w:tc>
      </w:tr>
      <w:tr w14:paraId="25D7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539ADFCD">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12</w:t>
            </w:r>
          </w:p>
        </w:tc>
        <w:tc>
          <w:tcPr>
            <w:tcW w:w="5520" w:type="dxa"/>
          </w:tcPr>
          <w:p w14:paraId="3E792D7A">
            <w:pPr>
              <w:numPr>
                <w:ilvl w:val="-1"/>
                <w:numId w:val="0"/>
              </w:numPr>
              <w:spacing w:line="360" w:lineRule="auto"/>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承包人</w:t>
            </w:r>
            <w:r>
              <w:rPr>
                <w:rFonts w:ascii="宋体" w:hAnsi="宋体" w:eastAsia="宋体" w:cs="宋体"/>
                <w:sz w:val="24"/>
                <w:szCs w:val="24"/>
                <w:highlight w:val="none"/>
              </w:rPr>
              <w:t>未按</w:t>
            </w:r>
            <w:r>
              <w:rPr>
                <w:rFonts w:hint="eastAsia" w:ascii="宋体" w:hAnsi="宋体" w:eastAsia="宋体" w:cs="宋体"/>
                <w:sz w:val="24"/>
                <w:szCs w:val="24"/>
                <w:highlight w:val="none"/>
                <w:lang w:val="en-US" w:eastAsia="zh-CN"/>
              </w:rPr>
              <w:t>本合同</w:t>
            </w:r>
            <w:r>
              <w:rPr>
                <w:rFonts w:ascii="宋体" w:hAnsi="宋体" w:eastAsia="宋体" w:cs="宋体"/>
                <w:sz w:val="24"/>
                <w:szCs w:val="24"/>
                <w:highlight w:val="none"/>
              </w:rPr>
              <w:t>要求在现场配置灭火器和灭火器放置点标识</w:t>
            </w:r>
            <w:r>
              <w:rPr>
                <w:rFonts w:hint="eastAsia" w:ascii="宋体" w:hAnsi="宋体" w:eastAsia="宋体" w:cs="宋体"/>
                <w:sz w:val="24"/>
                <w:szCs w:val="24"/>
                <w:highlight w:val="none"/>
                <w:lang w:eastAsia="zh-CN"/>
              </w:rPr>
              <w:t>。</w:t>
            </w:r>
          </w:p>
        </w:tc>
        <w:tc>
          <w:tcPr>
            <w:tcW w:w="1211" w:type="dxa"/>
            <w:vAlign w:val="center"/>
          </w:tcPr>
          <w:p w14:paraId="6F0CE86A">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c>
          <w:tcPr>
            <w:tcW w:w="1482" w:type="dxa"/>
            <w:vAlign w:val="center"/>
          </w:tcPr>
          <w:p w14:paraId="471270DC">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2000</w:t>
            </w:r>
          </w:p>
        </w:tc>
      </w:tr>
      <w:tr w14:paraId="43B0C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22581DA6">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13</w:t>
            </w:r>
          </w:p>
        </w:tc>
        <w:tc>
          <w:tcPr>
            <w:tcW w:w="5520" w:type="dxa"/>
          </w:tcPr>
          <w:p w14:paraId="34687D88">
            <w:pPr>
              <w:numPr>
                <w:ilvl w:val="-1"/>
                <w:numId w:val="0"/>
              </w:numPr>
              <w:spacing w:line="360" w:lineRule="auto"/>
              <w:jc w:val="left"/>
              <w:rPr>
                <w:rFonts w:hint="eastAsia" w:ascii="宋体" w:hAnsi="宋体" w:eastAsia="宋体" w:cs="宋体"/>
                <w:sz w:val="24"/>
                <w:szCs w:val="24"/>
                <w:highlight w:val="none"/>
                <w:lang w:eastAsia="zh-CN"/>
              </w:rPr>
            </w:pPr>
            <w:r>
              <w:rPr>
                <w:rFonts w:ascii="宋体" w:hAnsi="宋体" w:eastAsia="宋体" w:cs="宋体"/>
                <w:sz w:val="24"/>
                <w:szCs w:val="24"/>
                <w:highlight w:val="none"/>
              </w:rPr>
              <w:t>施工现场施工用电线路不符合</w:t>
            </w:r>
            <w:r>
              <w:rPr>
                <w:rFonts w:hint="eastAsia" w:ascii="宋体" w:hAnsi="宋体" w:eastAsia="宋体" w:cs="宋体"/>
                <w:sz w:val="24"/>
                <w:szCs w:val="24"/>
                <w:highlight w:val="none"/>
                <w:lang w:val="en-US" w:eastAsia="zh-CN"/>
              </w:rPr>
              <w:t>本合同</w:t>
            </w:r>
            <w:r>
              <w:rPr>
                <w:rFonts w:ascii="宋体" w:hAnsi="宋体" w:eastAsia="宋体" w:cs="宋体"/>
                <w:sz w:val="24"/>
                <w:szCs w:val="24"/>
                <w:highlight w:val="none"/>
              </w:rPr>
              <w:t>要求</w:t>
            </w:r>
            <w:r>
              <w:rPr>
                <w:rFonts w:hint="eastAsia" w:ascii="宋体" w:hAnsi="宋体" w:eastAsia="宋体" w:cs="宋体"/>
                <w:sz w:val="24"/>
                <w:szCs w:val="24"/>
                <w:highlight w:val="none"/>
                <w:lang w:eastAsia="zh-CN"/>
              </w:rPr>
              <w:t>。</w:t>
            </w:r>
          </w:p>
        </w:tc>
        <w:tc>
          <w:tcPr>
            <w:tcW w:w="1211" w:type="dxa"/>
            <w:vAlign w:val="center"/>
          </w:tcPr>
          <w:p w14:paraId="4B95AA2B">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c>
          <w:tcPr>
            <w:tcW w:w="1482" w:type="dxa"/>
            <w:vAlign w:val="center"/>
          </w:tcPr>
          <w:p w14:paraId="594EDD6E">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2000或停工整改</w:t>
            </w:r>
          </w:p>
        </w:tc>
      </w:tr>
      <w:tr w14:paraId="62492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6EBED02D">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14</w:t>
            </w:r>
          </w:p>
        </w:tc>
        <w:tc>
          <w:tcPr>
            <w:tcW w:w="5520" w:type="dxa"/>
          </w:tcPr>
          <w:p w14:paraId="3BD52ED4">
            <w:pPr>
              <w:numPr>
                <w:ilvl w:val="-1"/>
                <w:numId w:val="0"/>
              </w:numPr>
              <w:spacing w:line="360" w:lineRule="auto"/>
              <w:jc w:val="left"/>
              <w:rPr>
                <w:rFonts w:hint="eastAsia" w:ascii="宋体" w:hAnsi="宋体" w:eastAsia="宋体" w:cs="宋体"/>
                <w:sz w:val="24"/>
                <w:szCs w:val="24"/>
                <w:highlight w:val="none"/>
                <w:lang w:eastAsia="zh-CN"/>
              </w:rPr>
            </w:pPr>
            <w:r>
              <w:rPr>
                <w:rFonts w:ascii="宋体" w:hAnsi="宋体" w:eastAsia="宋体" w:cs="宋体"/>
                <w:sz w:val="24"/>
                <w:szCs w:val="24"/>
                <w:highlight w:val="none"/>
              </w:rPr>
              <w:t>施工现场移动式配电箱或开关箱不符合</w:t>
            </w:r>
            <w:r>
              <w:rPr>
                <w:rFonts w:hint="eastAsia" w:ascii="宋体" w:hAnsi="宋体" w:eastAsia="宋体" w:cs="宋体"/>
                <w:sz w:val="24"/>
                <w:szCs w:val="24"/>
                <w:highlight w:val="none"/>
                <w:lang w:val="en-US" w:eastAsia="zh-CN"/>
              </w:rPr>
              <w:t>本合同</w:t>
            </w:r>
            <w:r>
              <w:rPr>
                <w:rFonts w:ascii="宋体" w:hAnsi="宋体" w:eastAsia="宋体" w:cs="宋体"/>
                <w:sz w:val="24"/>
                <w:szCs w:val="24"/>
                <w:highlight w:val="none"/>
              </w:rPr>
              <w:t>要求</w:t>
            </w:r>
            <w:r>
              <w:rPr>
                <w:rFonts w:hint="eastAsia" w:ascii="宋体" w:hAnsi="宋体" w:eastAsia="宋体" w:cs="宋体"/>
                <w:sz w:val="24"/>
                <w:szCs w:val="24"/>
                <w:highlight w:val="none"/>
                <w:lang w:eastAsia="zh-CN"/>
              </w:rPr>
              <w:t>。</w:t>
            </w:r>
          </w:p>
        </w:tc>
        <w:tc>
          <w:tcPr>
            <w:tcW w:w="1211" w:type="dxa"/>
            <w:vAlign w:val="center"/>
          </w:tcPr>
          <w:p w14:paraId="4B767562">
            <w:pPr>
              <w:numPr>
                <w:ilvl w:val="-1"/>
                <w:numId w:val="0"/>
              </w:numPr>
              <w:spacing w:line="360" w:lineRule="auto"/>
              <w:ind w:left="0" w:leftChars="0" w:firstLine="0" w:firstLineChars="0"/>
              <w:jc w:val="center"/>
              <w:rPr>
                <w:rFonts w:hint="default" w:asciiTheme="minorEastAsia" w:hAnsiTheme="minorEastAsia" w:eastAsiaTheme="minorEastAsia" w:cstheme="minorEastAsia"/>
                <w:kern w:val="2"/>
                <w:sz w:val="28"/>
                <w:szCs w:val="28"/>
                <w:highlight w:val="none"/>
                <w:vertAlign w:val="baseline"/>
                <w:lang w:val="en-US" w:eastAsia="zh-CN" w:bidi="ar-SA"/>
              </w:rPr>
            </w:pPr>
            <w:r>
              <w:rPr>
                <w:rFonts w:hint="eastAsia" w:asciiTheme="minorEastAsia" w:hAnsiTheme="minorEastAsia" w:eastAsiaTheme="minorEastAsia" w:cstheme="minorEastAsia"/>
                <w:sz w:val="28"/>
                <w:szCs w:val="28"/>
                <w:highlight w:val="none"/>
                <w:vertAlign w:val="baseline"/>
                <w:lang w:val="en-US" w:eastAsia="zh-CN"/>
              </w:rPr>
              <w:t>500</w:t>
            </w:r>
          </w:p>
        </w:tc>
        <w:tc>
          <w:tcPr>
            <w:tcW w:w="1482" w:type="dxa"/>
            <w:vAlign w:val="center"/>
          </w:tcPr>
          <w:p w14:paraId="411AAF22">
            <w:pPr>
              <w:numPr>
                <w:ilvl w:val="-1"/>
                <w:numId w:val="0"/>
              </w:numPr>
              <w:spacing w:line="360" w:lineRule="auto"/>
              <w:ind w:left="0" w:leftChars="0" w:firstLine="0" w:firstLineChars="0"/>
              <w:jc w:val="center"/>
              <w:rPr>
                <w:rFonts w:hint="default" w:asciiTheme="minorEastAsia" w:hAnsiTheme="minorEastAsia" w:eastAsiaTheme="minorEastAsia" w:cstheme="minorEastAsia"/>
                <w:kern w:val="2"/>
                <w:sz w:val="28"/>
                <w:szCs w:val="28"/>
                <w:highlight w:val="none"/>
                <w:vertAlign w:val="baseline"/>
                <w:lang w:val="en-US" w:eastAsia="zh-CN" w:bidi="ar-SA"/>
              </w:rPr>
            </w:pPr>
            <w:r>
              <w:rPr>
                <w:rFonts w:hint="eastAsia" w:asciiTheme="minorEastAsia" w:hAnsiTheme="minorEastAsia" w:eastAsiaTheme="minorEastAsia" w:cstheme="minorEastAsia"/>
                <w:sz w:val="28"/>
                <w:szCs w:val="28"/>
                <w:highlight w:val="none"/>
                <w:vertAlign w:val="baseline"/>
                <w:lang w:val="en-US" w:eastAsia="zh-CN"/>
              </w:rPr>
              <w:t>2000或停工整改</w:t>
            </w:r>
          </w:p>
        </w:tc>
      </w:tr>
      <w:tr w14:paraId="51E1D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32B02FED">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15</w:t>
            </w:r>
          </w:p>
        </w:tc>
        <w:tc>
          <w:tcPr>
            <w:tcW w:w="5520" w:type="dxa"/>
          </w:tcPr>
          <w:p w14:paraId="224DC833">
            <w:pPr>
              <w:numPr>
                <w:ilvl w:val="-1"/>
                <w:numId w:val="0"/>
              </w:numPr>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施工现场施工用电设备不符合</w:t>
            </w:r>
            <w:r>
              <w:rPr>
                <w:rFonts w:hint="eastAsia" w:ascii="宋体" w:hAnsi="宋体" w:eastAsia="宋体" w:cs="宋体"/>
                <w:sz w:val="24"/>
                <w:szCs w:val="24"/>
                <w:highlight w:val="none"/>
                <w:lang w:val="en-US" w:eastAsia="zh-CN"/>
              </w:rPr>
              <w:t>本合同</w:t>
            </w:r>
            <w:r>
              <w:rPr>
                <w:rFonts w:ascii="宋体" w:hAnsi="宋体" w:eastAsia="宋体" w:cs="宋体"/>
                <w:sz w:val="24"/>
                <w:szCs w:val="24"/>
                <w:highlight w:val="none"/>
              </w:rPr>
              <w:t>要求。</w:t>
            </w:r>
          </w:p>
        </w:tc>
        <w:tc>
          <w:tcPr>
            <w:tcW w:w="1211" w:type="dxa"/>
            <w:vAlign w:val="center"/>
          </w:tcPr>
          <w:p w14:paraId="4BC47FB7">
            <w:pPr>
              <w:numPr>
                <w:ilvl w:val="-1"/>
                <w:numId w:val="0"/>
              </w:numPr>
              <w:spacing w:line="360" w:lineRule="auto"/>
              <w:ind w:left="0" w:leftChars="0" w:firstLine="0" w:firstLineChars="0"/>
              <w:jc w:val="center"/>
              <w:rPr>
                <w:rFonts w:hint="default" w:asciiTheme="minorEastAsia" w:hAnsiTheme="minorEastAsia" w:eastAsiaTheme="minorEastAsia" w:cstheme="minorEastAsia"/>
                <w:kern w:val="2"/>
                <w:sz w:val="28"/>
                <w:szCs w:val="28"/>
                <w:highlight w:val="none"/>
                <w:vertAlign w:val="baseline"/>
                <w:lang w:val="en-US" w:eastAsia="zh-CN" w:bidi="ar-SA"/>
              </w:rPr>
            </w:pPr>
            <w:r>
              <w:rPr>
                <w:rFonts w:hint="eastAsia" w:asciiTheme="minorEastAsia" w:hAnsiTheme="minorEastAsia" w:eastAsiaTheme="minorEastAsia" w:cstheme="minorEastAsia"/>
                <w:sz w:val="28"/>
                <w:szCs w:val="28"/>
                <w:highlight w:val="none"/>
                <w:vertAlign w:val="baseline"/>
                <w:lang w:val="en-US" w:eastAsia="zh-CN"/>
              </w:rPr>
              <w:t>500</w:t>
            </w:r>
          </w:p>
        </w:tc>
        <w:tc>
          <w:tcPr>
            <w:tcW w:w="1482" w:type="dxa"/>
            <w:vAlign w:val="center"/>
          </w:tcPr>
          <w:p w14:paraId="784CBC1D">
            <w:pPr>
              <w:numPr>
                <w:ilvl w:val="-1"/>
                <w:numId w:val="0"/>
              </w:numPr>
              <w:spacing w:line="360" w:lineRule="auto"/>
              <w:ind w:left="0" w:leftChars="0" w:firstLine="0" w:firstLineChars="0"/>
              <w:jc w:val="center"/>
              <w:rPr>
                <w:rFonts w:hint="default" w:asciiTheme="minorEastAsia" w:hAnsiTheme="minorEastAsia" w:eastAsiaTheme="minorEastAsia" w:cstheme="minorEastAsia"/>
                <w:kern w:val="2"/>
                <w:sz w:val="28"/>
                <w:szCs w:val="28"/>
                <w:highlight w:val="none"/>
                <w:vertAlign w:val="baseline"/>
                <w:lang w:val="en-US" w:eastAsia="zh-CN" w:bidi="ar-SA"/>
              </w:rPr>
            </w:pPr>
            <w:r>
              <w:rPr>
                <w:rFonts w:hint="eastAsia" w:asciiTheme="minorEastAsia" w:hAnsiTheme="minorEastAsia" w:eastAsiaTheme="minorEastAsia" w:cstheme="minorEastAsia"/>
                <w:sz w:val="28"/>
                <w:szCs w:val="28"/>
                <w:highlight w:val="none"/>
                <w:vertAlign w:val="baseline"/>
                <w:lang w:val="en-US" w:eastAsia="zh-CN"/>
              </w:rPr>
              <w:t>2000或停工整改</w:t>
            </w:r>
          </w:p>
        </w:tc>
      </w:tr>
      <w:tr w14:paraId="2A1EA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27614235">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16</w:t>
            </w:r>
          </w:p>
        </w:tc>
        <w:tc>
          <w:tcPr>
            <w:tcW w:w="5520" w:type="dxa"/>
          </w:tcPr>
          <w:p w14:paraId="2D9A0F84">
            <w:pPr>
              <w:numPr>
                <w:ilvl w:val="-1"/>
                <w:numId w:val="0"/>
              </w:numPr>
              <w:spacing w:line="360" w:lineRule="auto"/>
              <w:jc w:val="left"/>
              <w:rPr>
                <w:rFonts w:hint="eastAsia" w:ascii="宋体" w:hAnsi="宋体" w:eastAsia="宋体" w:cs="宋体"/>
                <w:sz w:val="24"/>
                <w:szCs w:val="24"/>
                <w:highlight w:val="none"/>
                <w:lang w:eastAsia="zh-CN"/>
              </w:rPr>
            </w:pPr>
            <w:r>
              <w:rPr>
                <w:rFonts w:ascii="宋体" w:hAnsi="宋体" w:eastAsia="宋体" w:cs="宋体"/>
                <w:sz w:val="24"/>
                <w:szCs w:val="24"/>
                <w:highlight w:val="none"/>
              </w:rPr>
              <w:t>施工现场手持电动工具不符合</w:t>
            </w:r>
            <w:r>
              <w:rPr>
                <w:rFonts w:hint="eastAsia" w:ascii="宋体" w:hAnsi="宋体" w:eastAsia="宋体" w:cs="宋体"/>
                <w:sz w:val="24"/>
                <w:szCs w:val="24"/>
                <w:highlight w:val="none"/>
                <w:lang w:val="en-US" w:eastAsia="zh-CN"/>
              </w:rPr>
              <w:t>本合同</w:t>
            </w:r>
            <w:r>
              <w:rPr>
                <w:rFonts w:ascii="宋体" w:hAnsi="宋体" w:eastAsia="宋体" w:cs="宋体"/>
                <w:sz w:val="24"/>
                <w:szCs w:val="24"/>
                <w:highlight w:val="none"/>
              </w:rPr>
              <w:t>要求</w:t>
            </w:r>
            <w:r>
              <w:rPr>
                <w:rFonts w:hint="eastAsia" w:ascii="宋体" w:hAnsi="宋体" w:eastAsia="宋体" w:cs="宋体"/>
                <w:sz w:val="24"/>
                <w:szCs w:val="24"/>
                <w:highlight w:val="none"/>
                <w:lang w:eastAsia="zh-CN"/>
              </w:rPr>
              <w:t>。</w:t>
            </w:r>
          </w:p>
        </w:tc>
        <w:tc>
          <w:tcPr>
            <w:tcW w:w="1211" w:type="dxa"/>
            <w:vAlign w:val="center"/>
          </w:tcPr>
          <w:p w14:paraId="0B93944D">
            <w:pPr>
              <w:numPr>
                <w:ilvl w:val="-1"/>
                <w:numId w:val="0"/>
              </w:numPr>
              <w:spacing w:line="360" w:lineRule="auto"/>
              <w:ind w:left="0" w:leftChars="0" w:firstLine="0" w:firstLineChars="0"/>
              <w:jc w:val="center"/>
              <w:rPr>
                <w:rFonts w:hint="default" w:asciiTheme="minorEastAsia" w:hAnsiTheme="minorEastAsia" w:eastAsiaTheme="minorEastAsia" w:cstheme="minorEastAsia"/>
                <w:kern w:val="2"/>
                <w:sz w:val="28"/>
                <w:szCs w:val="28"/>
                <w:highlight w:val="none"/>
                <w:vertAlign w:val="baseline"/>
                <w:lang w:val="en-US" w:eastAsia="zh-CN" w:bidi="ar-SA"/>
              </w:rPr>
            </w:pPr>
            <w:r>
              <w:rPr>
                <w:rFonts w:hint="eastAsia" w:asciiTheme="minorEastAsia" w:hAnsiTheme="minorEastAsia" w:eastAsiaTheme="minorEastAsia" w:cstheme="minorEastAsia"/>
                <w:sz w:val="28"/>
                <w:szCs w:val="28"/>
                <w:highlight w:val="none"/>
                <w:vertAlign w:val="baseline"/>
                <w:lang w:val="en-US" w:eastAsia="zh-CN"/>
              </w:rPr>
              <w:t>500</w:t>
            </w:r>
          </w:p>
        </w:tc>
        <w:tc>
          <w:tcPr>
            <w:tcW w:w="1482" w:type="dxa"/>
            <w:vAlign w:val="center"/>
          </w:tcPr>
          <w:p w14:paraId="18D98429">
            <w:pPr>
              <w:numPr>
                <w:ilvl w:val="-1"/>
                <w:numId w:val="0"/>
              </w:numPr>
              <w:spacing w:line="360" w:lineRule="auto"/>
              <w:ind w:left="0" w:leftChars="0" w:firstLine="0" w:firstLineChars="0"/>
              <w:jc w:val="center"/>
              <w:rPr>
                <w:rFonts w:hint="default" w:asciiTheme="minorEastAsia" w:hAnsiTheme="minorEastAsia" w:eastAsiaTheme="minorEastAsia" w:cstheme="minorEastAsia"/>
                <w:kern w:val="2"/>
                <w:sz w:val="28"/>
                <w:szCs w:val="28"/>
                <w:highlight w:val="none"/>
                <w:vertAlign w:val="baseline"/>
                <w:lang w:val="en-US" w:eastAsia="zh-CN" w:bidi="ar-SA"/>
              </w:rPr>
            </w:pPr>
            <w:r>
              <w:rPr>
                <w:rFonts w:hint="eastAsia" w:asciiTheme="minorEastAsia" w:hAnsiTheme="minorEastAsia" w:eastAsiaTheme="minorEastAsia" w:cstheme="minorEastAsia"/>
                <w:sz w:val="28"/>
                <w:szCs w:val="28"/>
                <w:highlight w:val="none"/>
                <w:vertAlign w:val="baseline"/>
                <w:lang w:val="en-US" w:eastAsia="zh-CN"/>
              </w:rPr>
              <w:t>2000或停工整改</w:t>
            </w:r>
          </w:p>
        </w:tc>
      </w:tr>
      <w:tr w14:paraId="60D2F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65EB7D04">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17</w:t>
            </w:r>
          </w:p>
        </w:tc>
        <w:tc>
          <w:tcPr>
            <w:tcW w:w="5520" w:type="dxa"/>
          </w:tcPr>
          <w:p w14:paraId="3914FBF4">
            <w:pPr>
              <w:numPr>
                <w:ilvl w:val="-1"/>
                <w:numId w:val="0"/>
              </w:numPr>
              <w:spacing w:line="360" w:lineRule="auto"/>
              <w:jc w:val="left"/>
              <w:rPr>
                <w:rFonts w:hint="eastAsia" w:ascii="宋体" w:hAnsi="宋体" w:eastAsia="宋体" w:cs="宋体"/>
                <w:sz w:val="24"/>
                <w:szCs w:val="24"/>
                <w:highlight w:val="none"/>
                <w:lang w:eastAsia="zh-CN"/>
              </w:rPr>
            </w:pPr>
            <w:r>
              <w:rPr>
                <w:rFonts w:hint="eastAsia" w:ascii="宋体" w:hAnsi="宋体" w:cs="宋体"/>
                <w:sz w:val="24"/>
                <w:szCs w:val="24"/>
                <w:highlight w:val="none"/>
                <w:lang w:val="en-US" w:eastAsia="zh-CN"/>
              </w:rPr>
              <w:t>乙方</w:t>
            </w:r>
            <w:r>
              <w:rPr>
                <w:rFonts w:ascii="宋体" w:hAnsi="宋体" w:eastAsia="宋体" w:cs="宋体"/>
                <w:sz w:val="24"/>
                <w:szCs w:val="24"/>
                <w:highlight w:val="none"/>
              </w:rPr>
              <w:t>从事起重吊装、动火作业、电工作业、高处作业、有限空间作业、挖掘机土方开挖等特种作业，作业人员未持证上岗，或人证不一致。或证件不符合要求</w:t>
            </w:r>
            <w:r>
              <w:rPr>
                <w:rFonts w:hint="eastAsia" w:ascii="宋体" w:hAnsi="宋体" w:eastAsia="宋体" w:cs="宋体"/>
                <w:sz w:val="24"/>
                <w:szCs w:val="24"/>
                <w:highlight w:val="none"/>
                <w:lang w:eastAsia="zh-CN"/>
              </w:rPr>
              <w:t>。</w:t>
            </w:r>
          </w:p>
        </w:tc>
        <w:tc>
          <w:tcPr>
            <w:tcW w:w="1211" w:type="dxa"/>
            <w:vAlign w:val="center"/>
          </w:tcPr>
          <w:p w14:paraId="3DB82095">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5000</w:t>
            </w:r>
          </w:p>
        </w:tc>
        <w:tc>
          <w:tcPr>
            <w:tcW w:w="1482" w:type="dxa"/>
            <w:vAlign w:val="center"/>
          </w:tcPr>
          <w:p w14:paraId="357D279B">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停工整改</w:t>
            </w:r>
          </w:p>
        </w:tc>
      </w:tr>
      <w:tr w14:paraId="3BC8B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42F91E35">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18</w:t>
            </w:r>
          </w:p>
        </w:tc>
        <w:tc>
          <w:tcPr>
            <w:tcW w:w="5520" w:type="dxa"/>
          </w:tcPr>
          <w:p w14:paraId="6D0F2E80">
            <w:pPr>
              <w:numPr>
                <w:ilvl w:val="-1"/>
                <w:numId w:val="0"/>
              </w:numPr>
              <w:spacing w:line="360" w:lineRule="auto"/>
              <w:jc w:val="left"/>
              <w:rPr>
                <w:rFonts w:hint="eastAsia" w:ascii="宋体" w:hAnsi="宋体" w:eastAsia="宋体" w:cs="宋体"/>
                <w:sz w:val="24"/>
                <w:szCs w:val="24"/>
                <w:highlight w:val="none"/>
                <w:lang w:eastAsia="zh-CN"/>
              </w:rPr>
            </w:pPr>
            <w:r>
              <w:rPr>
                <w:rFonts w:ascii="宋体" w:hAnsi="宋体" w:eastAsia="宋体" w:cs="宋体"/>
                <w:sz w:val="24"/>
                <w:szCs w:val="24"/>
                <w:highlight w:val="none"/>
              </w:rPr>
              <w:t>起重吊装作业未履行审批手续或现场不符合</w:t>
            </w:r>
            <w:r>
              <w:rPr>
                <w:rFonts w:hint="eastAsia" w:ascii="宋体" w:hAnsi="宋体" w:eastAsia="宋体" w:cs="宋体"/>
                <w:sz w:val="24"/>
                <w:szCs w:val="24"/>
                <w:highlight w:val="none"/>
                <w:lang w:val="en-US" w:eastAsia="zh-CN"/>
              </w:rPr>
              <w:t>本合同要求</w:t>
            </w:r>
            <w:r>
              <w:rPr>
                <w:rFonts w:ascii="宋体" w:hAnsi="宋体" w:eastAsia="宋体" w:cs="宋体"/>
                <w:sz w:val="24"/>
                <w:szCs w:val="24"/>
                <w:highlight w:val="none"/>
              </w:rPr>
              <w:t>和“十不吊”要求</w:t>
            </w:r>
            <w:r>
              <w:rPr>
                <w:rFonts w:hint="eastAsia" w:ascii="宋体" w:hAnsi="宋体" w:eastAsia="宋体" w:cs="宋体"/>
                <w:sz w:val="24"/>
                <w:szCs w:val="24"/>
                <w:highlight w:val="none"/>
                <w:lang w:eastAsia="zh-CN"/>
              </w:rPr>
              <w:t>。</w:t>
            </w:r>
          </w:p>
        </w:tc>
        <w:tc>
          <w:tcPr>
            <w:tcW w:w="1211" w:type="dxa"/>
            <w:vAlign w:val="center"/>
          </w:tcPr>
          <w:p w14:paraId="14C99E9B">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1000</w:t>
            </w:r>
          </w:p>
        </w:tc>
        <w:tc>
          <w:tcPr>
            <w:tcW w:w="1482" w:type="dxa"/>
            <w:vAlign w:val="center"/>
          </w:tcPr>
          <w:p w14:paraId="6A089024">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5000或停工整改</w:t>
            </w:r>
          </w:p>
        </w:tc>
      </w:tr>
      <w:tr w14:paraId="58C33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252A06A4">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19</w:t>
            </w:r>
          </w:p>
        </w:tc>
        <w:tc>
          <w:tcPr>
            <w:tcW w:w="5520" w:type="dxa"/>
          </w:tcPr>
          <w:p w14:paraId="542AC030">
            <w:pPr>
              <w:numPr>
                <w:ilvl w:val="-1"/>
                <w:numId w:val="0"/>
              </w:numPr>
              <w:spacing w:line="360" w:lineRule="auto"/>
              <w:jc w:val="left"/>
              <w:rPr>
                <w:rFonts w:hint="eastAsia" w:ascii="宋体" w:hAnsi="宋体" w:eastAsia="宋体" w:cs="宋体"/>
                <w:sz w:val="24"/>
                <w:szCs w:val="24"/>
                <w:highlight w:val="none"/>
                <w:lang w:eastAsia="zh-CN"/>
              </w:rPr>
            </w:pPr>
            <w:r>
              <w:rPr>
                <w:rFonts w:ascii="宋体" w:hAnsi="宋体" w:eastAsia="宋体" w:cs="宋体"/>
                <w:sz w:val="24"/>
                <w:szCs w:val="24"/>
                <w:highlight w:val="none"/>
              </w:rPr>
              <w:t>高处作业未履行审批手续或现场不符合</w:t>
            </w:r>
            <w:r>
              <w:rPr>
                <w:rFonts w:hint="eastAsia" w:ascii="宋体" w:hAnsi="宋体" w:eastAsia="宋体" w:cs="宋体"/>
                <w:sz w:val="24"/>
                <w:szCs w:val="24"/>
                <w:highlight w:val="none"/>
                <w:lang w:val="en-US" w:eastAsia="zh-CN"/>
              </w:rPr>
              <w:t>本合同</w:t>
            </w:r>
            <w:r>
              <w:rPr>
                <w:rFonts w:ascii="宋体" w:hAnsi="宋体" w:eastAsia="宋体" w:cs="宋体"/>
                <w:sz w:val="24"/>
                <w:szCs w:val="24"/>
                <w:highlight w:val="none"/>
              </w:rPr>
              <w:t>要求</w:t>
            </w:r>
            <w:r>
              <w:rPr>
                <w:rFonts w:hint="eastAsia" w:ascii="宋体" w:hAnsi="宋体" w:eastAsia="宋体" w:cs="宋体"/>
                <w:sz w:val="24"/>
                <w:szCs w:val="24"/>
                <w:highlight w:val="none"/>
                <w:lang w:eastAsia="zh-CN"/>
              </w:rPr>
              <w:t>。</w:t>
            </w:r>
          </w:p>
        </w:tc>
        <w:tc>
          <w:tcPr>
            <w:tcW w:w="1211" w:type="dxa"/>
            <w:vAlign w:val="center"/>
          </w:tcPr>
          <w:p w14:paraId="64B788FC">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1000</w:t>
            </w:r>
          </w:p>
        </w:tc>
        <w:tc>
          <w:tcPr>
            <w:tcW w:w="1482" w:type="dxa"/>
            <w:vAlign w:val="center"/>
          </w:tcPr>
          <w:p w14:paraId="7CD9F845">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5000或停工整改</w:t>
            </w:r>
          </w:p>
        </w:tc>
      </w:tr>
      <w:tr w14:paraId="42649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6042D81A">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w:t>
            </w:r>
          </w:p>
        </w:tc>
        <w:tc>
          <w:tcPr>
            <w:tcW w:w="5520" w:type="dxa"/>
          </w:tcPr>
          <w:p w14:paraId="10DCD987">
            <w:pPr>
              <w:numPr>
                <w:ilvl w:val="-1"/>
                <w:numId w:val="0"/>
              </w:numPr>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动火作业未履行审批手续或现场不符合</w:t>
            </w:r>
            <w:r>
              <w:rPr>
                <w:rFonts w:hint="eastAsia" w:ascii="宋体" w:hAnsi="宋体" w:eastAsia="宋体" w:cs="宋体"/>
                <w:sz w:val="24"/>
                <w:szCs w:val="24"/>
                <w:highlight w:val="none"/>
                <w:lang w:val="en-US" w:eastAsia="zh-CN"/>
              </w:rPr>
              <w:t>本合同要求</w:t>
            </w:r>
            <w:r>
              <w:rPr>
                <w:rFonts w:ascii="宋体" w:hAnsi="宋体" w:eastAsia="宋体" w:cs="宋体"/>
                <w:sz w:val="24"/>
                <w:szCs w:val="24"/>
                <w:highlight w:val="none"/>
              </w:rPr>
              <w:t>和“十不烧”要求</w:t>
            </w:r>
          </w:p>
        </w:tc>
        <w:tc>
          <w:tcPr>
            <w:tcW w:w="1211" w:type="dxa"/>
            <w:vAlign w:val="center"/>
          </w:tcPr>
          <w:p w14:paraId="758CA00E">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1000</w:t>
            </w:r>
          </w:p>
        </w:tc>
        <w:tc>
          <w:tcPr>
            <w:tcW w:w="1482" w:type="dxa"/>
            <w:vAlign w:val="center"/>
          </w:tcPr>
          <w:p w14:paraId="7EABC6EB">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5000或停工整改</w:t>
            </w:r>
          </w:p>
        </w:tc>
      </w:tr>
      <w:tr w14:paraId="4EB9E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2EC832D9">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21</w:t>
            </w:r>
          </w:p>
        </w:tc>
        <w:tc>
          <w:tcPr>
            <w:tcW w:w="5520" w:type="dxa"/>
          </w:tcPr>
          <w:p w14:paraId="4E96011C">
            <w:pPr>
              <w:numPr>
                <w:ilvl w:val="-1"/>
                <w:numId w:val="0"/>
              </w:numPr>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电工作业未履行审批手续或现场不符合</w:t>
            </w:r>
            <w:r>
              <w:rPr>
                <w:rFonts w:hint="eastAsia" w:ascii="宋体" w:hAnsi="宋体" w:eastAsia="宋体" w:cs="宋体"/>
                <w:sz w:val="24"/>
                <w:szCs w:val="24"/>
                <w:highlight w:val="none"/>
                <w:lang w:val="en-US" w:eastAsia="zh-CN"/>
              </w:rPr>
              <w:t>本合同</w:t>
            </w:r>
            <w:r>
              <w:rPr>
                <w:rFonts w:ascii="宋体" w:hAnsi="宋体" w:eastAsia="宋体" w:cs="宋体"/>
                <w:sz w:val="24"/>
                <w:szCs w:val="24"/>
                <w:highlight w:val="none"/>
              </w:rPr>
              <w:t>要求。</w:t>
            </w:r>
          </w:p>
        </w:tc>
        <w:tc>
          <w:tcPr>
            <w:tcW w:w="1211" w:type="dxa"/>
            <w:vAlign w:val="center"/>
          </w:tcPr>
          <w:p w14:paraId="6960495F">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1000</w:t>
            </w:r>
          </w:p>
        </w:tc>
        <w:tc>
          <w:tcPr>
            <w:tcW w:w="1482" w:type="dxa"/>
            <w:vAlign w:val="center"/>
          </w:tcPr>
          <w:p w14:paraId="48ACE697">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5000或停工整改</w:t>
            </w:r>
          </w:p>
        </w:tc>
      </w:tr>
      <w:tr w14:paraId="05D78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4DDA7933">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22</w:t>
            </w:r>
          </w:p>
        </w:tc>
        <w:tc>
          <w:tcPr>
            <w:tcW w:w="5520" w:type="dxa"/>
          </w:tcPr>
          <w:p w14:paraId="371A796E">
            <w:pPr>
              <w:numPr>
                <w:ilvl w:val="-1"/>
                <w:numId w:val="0"/>
              </w:numPr>
              <w:spacing w:line="360" w:lineRule="auto"/>
              <w:jc w:val="left"/>
              <w:rPr>
                <w:rFonts w:hint="eastAsia" w:ascii="宋体" w:hAnsi="宋体" w:eastAsia="宋体" w:cs="宋体"/>
                <w:sz w:val="24"/>
                <w:szCs w:val="24"/>
                <w:highlight w:val="none"/>
                <w:lang w:eastAsia="zh-CN"/>
              </w:rPr>
            </w:pPr>
            <w:r>
              <w:rPr>
                <w:rFonts w:ascii="宋体" w:hAnsi="宋体" w:eastAsia="宋体" w:cs="宋体"/>
                <w:sz w:val="24"/>
                <w:szCs w:val="24"/>
                <w:highlight w:val="none"/>
              </w:rPr>
              <w:t>有限空间作业未履行审批手续或现场不符合</w:t>
            </w:r>
            <w:r>
              <w:rPr>
                <w:rFonts w:hint="eastAsia" w:ascii="宋体" w:hAnsi="宋体" w:eastAsia="宋体" w:cs="宋体"/>
                <w:sz w:val="24"/>
                <w:szCs w:val="24"/>
                <w:highlight w:val="none"/>
                <w:lang w:val="en-US" w:eastAsia="zh-CN"/>
              </w:rPr>
              <w:t>本合同</w:t>
            </w:r>
            <w:r>
              <w:rPr>
                <w:rFonts w:ascii="宋体" w:hAnsi="宋体" w:eastAsia="宋体" w:cs="宋体"/>
                <w:sz w:val="24"/>
                <w:szCs w:val="24"/>
                <w:highlight w:val="none"/>
              </w:rPr>
              <w:t>要求</w:t>
            </w:r>
            <w:r>
              <w:rPr>
                <w:rFonts w:hint="eastAsia" w:ascii="宋体" w:hAnsi="宋体" w:eastAsia="宋体" w:cs="宋体"/>
                <w:sz w:val="24"/>
                <w:szCs w:val="24"/>
                <w:highlight w:val="none"/>
                <w:lang w:eastAsia="zh-CN"/>
              </w:rPr>
              <w:t>。</w:t>
            </w:r>
          </w:p>
        </w:tc>
        <w:tc>
          <w:tcPr>
            <w:tcW w:w="1211" w:type="dxa"/>
            <w:vAlign w:val="center"/>
          </w:tcPr>
          <w:p w14:paraId="633A9690">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1000</w:t>
            </w:r>
          </w:p>
        </w:tc>
        <w:tc>
          <w:tcPr>
            <w:tcW w:w="1482" w:type="dxa"/>
            <w:vAlign w:val="center"/>
          </w:tcPr>
          <w:p w14:paraId="2CDC2070">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5000或停工整改</w:t>
            </w:r>
          </w:p>
        </w:tc>
      </w:tr>
      <w:tr w14:paraId="424DF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2BA1A46A">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23</w:t>
            </w:r>
          </w:p>
        </w:tc>
        <w:tc>
          <w:tcPr>
            <w:tcW w:w="5520" w:type="dxa"/>
          </w:tcPr>
          <w:p w14:paraId="0F8B3500">
            <w:pPr>
              <w:numPr>
                <w:ilvl w:val="-1"/>
                <w:numId w:val="0"/>
              </w:numPr>
              <w:spacing w:line="360" w:lineRule="auto"/>
              <w:jc w:val="left"/>
              <w:rPr>
                <w:rFonts w:hint="eastAsia" w:ascii="宋体" w:hAnsi="宋体" w:eastAsia="宋体" w:cs="宋体"/>
                <w:sz w:val="24"/>
                <w:szCs w:val="24"/>
                <w:highlight w:val="none"/>
                <w:lang w:eastAsia="zh-CN"/>
              </w:rPr>
            </w:pPr>
            <w:r>
              <w:rPr>
                <w:rFonts w:ascii="宋体" w:hAnsi="宋体" w:eastAsia="宋体" w:cs="宋体"/>
                <w:sz w:val="24"/>
                <w:szCs w:val="24"/>
                <w:highlight w:val="none"/>
              </w:rPr>
              <w:t>挖掘机土方开挖作业未履行审批手续或现场不符合</w:t>
            </w:r>
            <w:r>
              <w:rPr>
                <w:rFonts w:hint="eastAsia" w:ascii="宋体" w:hAnsi="宋体" w:eastAsia="宋体" w:cs="宋体"/>
                <w:sz w:val="24"/>
                <w:szCs w:val="24"/>
                <w:highlight w:val="none"/>
                <w:lang w:val="en-US" w:eastAsia="zh-CN"/>
              </w:rPr>
              <w:t>本合同</w:t>
            </w:r>
            <w:r>
              <w:rPr>
                <w:rFonts w:ascii="宋体" w:hAnsi="宋体" w:eastAsia="宋体" w:cs="宋体"/>
                <w:sz w:val="24"/>
                <w:szCs w:val="24"/>
                <w:highlight w:val="none"/>
              </w:rPr>
              <w:t>要求</w:t>
            </w:r>
            <w:r>
              <w:rPr>
                <w:rFonts w:hint="eastAsia" w:ascii="宋体" w:hAnsi="宋体" w:eastAsia="宋体" w:cs="宋体"/>
                <w:sz w:val="24"/>
                <w:szCs w:val="24"/>
                <w:highlight w:val="none"/>
                <w:lang w:eastAsia="zh-CN"/>
              </w:rPr>
              <w:t>。</w:t>
            </w:r>
          </w:p>
        </w:tc>
        <w:tc>
          <w:tcPr>
            <w:tcW w:w="1211" w:type="dxa"/>
            <w:vAlign w:val="center"/>
          </w:tcPr>
          <w:p w14:paraId="16AE07E6">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1000</w:t>
            </w:r>
          </w:p>
        </w:tc>
        <w:tc>
          <w:tcPr>
            <w:tcW w:w="1482" w:type="dxa"/>
            <w:vAlign w:val="center"/>
          </w:tcPr>
          <w:p w14:paraId="06CCD8A1">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5000或停工整改</w:t>
            </w:r>
          </w:p>
        </w:tc>
      </w:tr>
      <w:tr w14:paraId="0613C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2D60A5FB">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24</w:t>
            </w:r>
          </w:p>
        </w:tc>
        <w:tc>
          <w:tcPr>
            <w:tcW w:w="5520" w:type="dxa"/>
          </w:tcPr>
          <w:p w14:paraId="089D99ED">
            <w:pPr>
              <w:numPr>
                <w:ilvl w:val="-1"/>
                <w:numId w:val="0"/>
              </w:numPr>
              <w:spacing w:line="360" w:lineRule="auto"/>
              <w:jc w:val="left"/>
              <w:rPr>
                <w:rFonts w:hint="eastAsia" w:ascii="宋体" w:hAnsi="宋体" w:eastAsia="宋体" w:cs="宋体"/>
                <w:sz w:val="24"/>
                <w:szCs w:val="24"/>
                <w:highlight w:val="none"/>
                <w:lang w:eastAsia="zh-CN"/>
              </w:rPr>
            </w:pPr>
            <w:r>
              <w:rPr>
                <w:rFonts w:ascii="宋体" w:hAnsi="宋体" w:eastAsia="宋体" w:cs="宋体"/>
                <w:sz w:val="24"/>
                <w:szCs w:val="24"/>
                <w:highlight w:val="none"/>
              </w:rPr>
              <w:t>电缆铺设作业现场不符合</w:t>
            </w:r>
            <w:r>
              <w:rPr>
                <w:rFonts w:hint="eastAsia" w:ascii="宋体" w:hAnsi="宋体" w:eastAsia="宋体" w:cs="宋体"/>
                <w:sz w:val="24"/>
                <w:szCs w:val="24"/>
                <w:highlight w:val="none"/>
                <w:lang w:val="en-US" w:eastAsia="zh-CN"/>
              </w:rPr>
              <w:t>本合同</w:t>
            </w:r>
            <w:r>
              <w:rPr>
                <w:rFonts w:ascii="宋体" w:hAnsi="宋体" w:eastAsia="宋体" w:cs="宋体"/>
                <w:sz w:val="24"/>
                <w:szCs w:val="24"/>
                <w:highlight w:val="none"/>
              </w:rPr>
              <w:t>要求</w:t>
            </w:r>
            <w:r>
              <w:rPr>
                <w:rFonts w:hint="eastAsia" w:ascii="宋体" w:hAnsi="宋体" w:eastAsia="宋体" w:cs="宋体"/>
                <w:sz w:val="24"/>
                <w:szCs w:val="24"/>
                <w:highlight w:val="none"/>
                <w:lang w:eastAsia="zh-CN"/>
              </w:rPr>
              <w:t>。</w:t>
            </w:r>
          </w:p>
        </w:tc>
        <w:tc>
          <w:tcPr>
            <w:tcW w:w="1211" w:type="dxa"/>
            <w:vAlign w:val="center"/>
          </w:tcPr>
          <w:p w14:paraId="37DBD61D">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c>
          <w:tcPr>
            <w:tcW w:w="1482" w:type="dxa"/>
            <w:vAlign w:val="center"/>
          </w:tcPr>
          <w:p w14:paraId="3E7D4C0B">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2000或停工整改</w:t>
            </w:r>
          </w:p>
        </w:tc>
      </w:tr>
      <w:tr w14:paraId="3320B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272C71E6">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25</w:t>
            </w:r>
          </w:p>
        </w:tc>
        <w:tc>
          <w:tcPr>
            <w:tcW w:w="5520" w:type="dxa"/>
          </w:tcPr>
          <w:p w14:paraId="6983BC70">
            <w:pPr>
              <w:numPr>
                <w:ilvl w:val="-1"/>
                <w:numId w:val="0"/>
              </w:numPr>
              <w:spacing w:line="360" w:lineRule="auto"/>
              <w:jc w:val="left"/>
              <w:rPr>
                <w:rFonts w:hint="eastAsia" w:ascii="宋体" w:hAnsi="宋体" w:eastAsia="宋体" w:cs="宋体"/>
                <w:sz w:val="24"/>
                <w:szCs w:val="24"/>
                <w:highlight w:val="none"/>
                <w:lang w:eastAsia="zh-CN"/>
              </w:rPr>
            </w:pPr>
            <w:r>
              <w:rPr>
                <w:rFonts w:ascii="宋体" w:hAnsi="宋体" w:eastAsia="宋体" w:cs="宋体"/>
                <w:sz w:val="24"/>
                <w:szCs w:val="24"/>
                <w:highlight w:val="none"/>
              </w:rPr>
              <w:t>施工现场工程设备材料堆放混乱</w:t>
            </w:r>
            <w:r>
              <w:rPr>
                <w:rFonts w:hint="eastAsia" w:ascii="宋体" w:hAnsi="宋体" w:eastAsia="宋体" w:cs="宋体"/>
                <w:sz w:val="24"/>
                <w:szCs w:val="24"/>
                <w:highlight w:val="none"/>
                <w:lang w:eastAsia="zh-CN"/>
              </w:rPr>
              <w:t>。</w:t>
            </w:r>
          </w:p>
        </w:tc>
        <w:tc>
          <w:tcPr>
            <w:tcW w:w="1211" w:type="dxa"/>
            <w:vAlign w:val="center"/>
          </w:tcPr>
          <w:p w14:paraId="30BB6B39">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200</w:t>
            </w:r>
          </w:p>
        </w:tc>
        <w:tc>
          <w:tcPr>
            <w:tcW w:w="1482" w:type="dxa"/>
            <w:vAlign w:val="center"/>
          </w:tcPr>
          <w:p w14:paraId="18CA18BC">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1000</w:t>
            </w:r>
          </w:p>
        </w:tc>
      </w:tr>
      <w:tr w14:paraId="419C9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69ACE7B3">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26</w:t>
            </w:r>
          </w:p>
        </w:tc>
        <w:tc>
          <w:tcPr>
            <w:tcW w:w="5520" w:type="dxa"/>
          </w:tcPr>
          <w:p w14:paraId="0796A793">
            <w:pPr>
              <w:numPr>
                <w:ilvl w:val="-1"/>
                <w:numId w:val="0"/>
              </w:numPr>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施工结束时施工单位未及时清理现场，未做到工完料尽场地清。</w:t>
            </w:r>
          </w:p>
        </w:tc>
        <w:tc>
          <w:tcPr>
            <w:tcW w:w="1211" w:type="dxa"/>
            <w:vAlign w:val="center"/>
          </w:tcPr>
          <w:p w14:paraId="5DC784C0">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200</w:t>
            </w:r>
          </w:p>
        </w:tc>
        <w:tc>
          <w:tcPr>
            <w:tcW w:w="1482" w:type="dxa"/>
            <w:vAlign w:val="center"/>
          </w:tcPr>
          <w:p w14:paraId="485F918A">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1000</w:t>
            </w:r>
          </w:p>
        </w:tc>
      </w:tr>
      <w:tr w14:paraId="0AF30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2D30C31E">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27</w:t>
            </w:r>
          </w:p>
        </w:tc>
        <w:tc>
          <w:tcPr>
            <w:tcW w:w="5520" w:type="dxa"/>
          </w:tcPr>
          <w:p w14:paraId="36736D22">
            <w:pPr>
              <w:numPr>
                <w:ilvl w:val="-1"/>
                <w:numId w:val="0"/>
              </w:numPr>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施工现场地面存在直立的钉子或大量玻璃碎片。</w:t>
            </w:r>
          </w:p>
        </w:tc>
        <w:tc>
          <w:tcPr>
            <w:tcW w:w="1211" w:type="dxa"/>
            <w:vAlign w:val="center"/>
          </w:tcPr>
          <w:p w14:paraId="0A79F073">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w:t>
            </w:r>
          </w:p>
        </w:tc>
        <w:tc>
          <w:tcPr>
            <w:tcW w:w="1482" w:type="dxa"/>
            <w:vAlign w:val="center"/>
          </w:tcPr>
          <w:p w14:paraId="194CE6D2">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r>
      <w:tr w14:paraId="31409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5BF48AB6">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28</w:t>
            </w:r>
          </w:p>
        </w:tc>
        <w:tc>
          <w:tcPr>
            <w:tcW w:w="5520" w:type="dxa"/>
          </w:tcPr>
          <w:p w14:paraId="76B12F9C">
            <w:pPr>
              <w:numPr>
                <w:ilvl w:val="-1"/>
                <w:numId w:val="0"/>
              </w:numPr>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施工场地内的泥浆、沙土被带至施工场地外。施工现场 “扬尘” 严重。</w:t>
            </w:r>
          </w:p>
        </w:tc>
        <w:tc>
          <w:tcPr>
            <w:tcW w:w="1211" w:type="dxa"/>
            <w:vAlign w:val="center"/>
          </w:tcPr>
          <w:p w14:paraId="23FEBA96">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200</w:t>
            </w:r>
          </w:p>
        </w:tc>
        <w:tc>
          <w:tcPr>
            <w:tcW w:w="1482" w:type="dxa"/>
            <w:vAlign w:val="center"/>
          </w:tcPr>
          <w:p w14:paraId="116A85EB">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1000</w:t>
            </w:r>
          </w:p>
        </w:tc>
      </w:tr>
      <w:tr w14:paraId="7B9DC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0C9E0E36">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29</w:t>
            </w:r>
          </w:p>
        </w:tc>
        <w:tc>
          <w:tcPr>
            <w:tcW w:w="5520" w:type="dxa"/>
          </w:tcPr>
          <w:p w14:paraId="73143DCD">
            <w:pPr>
              <w:numPr>
                <w:ilvl w:val="-1"/>
                <w:numId w:val="0"/>
              </w:numPr>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施工人员在施工场地内焚烧废物。</w:t>
            </w:r>
          </w:p>
        </w:tc>
        <w:tc>
          <w:tcPr>
            <w:tcW w:w="1211" w:type="dxa"/>
            <w:vAlign w:val="center"/>
          </w:tcPr>
          <w:p w14:paraId="6ABEFEEF">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c>
          <w:tcPr>
            <w:tcW w:w="1482" w:type="dxa"/>
            <w:vAlign w:val="center"/>
          </w:tcPr>
          <w:p w14:paraId="2E14DA72">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2000</w:t>
            </w:r>
          </w:p>
        </w:tc>
      </w:tr>
      <w:tr w14:paraId="3257F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70E3F985">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30</w:t>
            </w:r>
          </w:p>
        </w:tc>
        <w:tc>
          <w:tcPr>
            <w:tcW w:w="5520" w:type="dxa"/>
          </w:tcPr>
          <w:p w14:paraId="6AA2A6ED">
            <w:pPr>
              <w:numPr>
                <w:ilvl w:val="-1"/>
                <w:numId w:val="0"/>
              </w:numPr>
              <w:spacing w:line="360" w:lineRule="auto"/>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承包人</w:t>
            </w:r>
            <w:r>
              <w:rPr>
                <w:rFonts w:ascii="宋体" w:hAnsi="宋体" w:eastAsia="宋体" w:cs="宋体"/>
                <w:sz w:val="24"/>
                <w:szCs w:val="24"/>
                <w:highlight w:val="none"/>
              </w:rPr>
              <w:t>在施工场地存放稀料、汽油、喷漆等易燃易爆危险物品，未做到当天使用当天清理</w:t>
            </w:r>
            <w:r>
              <w:rPr>
                <w:rFonts w:hint="eastAsia" w:ascii="宋体" w:hAnsi="宋体" w:eastAsia="宋体" w:cs="宋体"/>
                <w:sz w:val="24"/>
                <w:szCs w:val="24"/>
                <w:highlight w:val="none"/>
                <w:lang w:eastAsia="zh-CN"/>
              </w:rPr>
              <w:t>。</w:t>
            </w:r>
          </w:p>
        </w:tc>
        <w:tc>
          <w:tcPr>
            <w:tcW w:w="1211" w:type="dxa"/>
            <w:vAlign w:val="center"/>
          </w:tcPr>
          <w:p w14:paraId="0255CB2B">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c>
          <w:tcPr>
            <w:tcW w:w="1482" w:type="dxa"/>
            <w:vAlign w:val="center"/>
          </w:tcPr>
          <w:p w14:paraId="75C2EEE2">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2000</w:t>
            </w:r>
          </w:p>
        </w:tc>
      </w:tr>
      <w:tr w14:paraId="55CD7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267AAA7D">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31</w:t>
            </w:r>
          </w:p>
        </w:tc>
        <w:tc>
          <w:tcPr>
            <w:tcW w:w="5520" w:type="dxa"/>
          </w:tcPr>
          <w:p w14:paraId="6E1CF239">
            <w:pPr>
              <w:numPr>
                <w:ilvl w:val="-1"/>
                <w:numId w:val="0"/>
              </w:num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承包人</w:t>
            </w:r>
            <w:r>
              <w:rPr>
                <w:rFonts w:ascii="宋体" w:hAnsi="宋体" w:eastAsia="宋体" w:cs="宋体"/>
                <w:sz w:val="24"/>
                <w:szCs w:val="24"/>
                <w:highlight w:val="none"/>
              </w:rPr>
              <w:t>未按工程进展情况做好季节性施工的各项安全保证措 施，夏季未做防暑降温、防暴雨</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防地灾</w:t>
            </w:r>
            <w:r>
              <w:rPr>
                <w:rFonts w:ascii="宋体" w:hAnsi="宋体" w:eastAsia="宋体" w:cs="宋体"/>
                <w:sz w:val="24"/>
                <w:szCs w:val="24"/>
                <w:highlight w:val="none"/>
              </w:rPr>
              <w:t>等安全防护工作，秋冬季节未做防火、防暴雪等安全防护工作。</w:t>
            </w:r>
          </w:p>
        </w:tc>
        <w:tc>
          <w:tcPr>
            <w:tcW w:w="1211" w:type="dxa"/>
            <w:vAlign w:val="center"/>
          </w:tcPr>
          <w:p w14:paraId="3086E9E5">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c>
          <w:tcPr>
            <w:tcW w:w="1482" w:type="dxa"/>
            <w:vAlign w:val="center"/>
          </w:tcPr>
          <w:p w14:paraId="28052930">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2000</w:t>
            </w:r>
          </w:p>
        </w:tc>
      </w:tr>
      <w:tr w14:paraId="1CD12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74BF7881">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32</w:t>
            </w:r>
          </w:p>
        </w:tc>
        <w:tc>
          <w:tcPr>
            <w:tcW w:w="5520" w:type="dxa"/>
          </w:tcPr>
          <w:p w14:paraId="47C680C3">
            <w:pPr>
              <w:numPr>
                <w:ilvl w:val="-1"/>
                <w:numId w:val="0"/>
              </w:numPr>
              <w:spacing w:line="360" w:lineRule="auto"/>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承包人</w:t>
            </w:r>
            <w:r>
              <w:rPr>
                <w:rFonts w:ascii="宋体" w:hAnsi="宋体" w:eastAsia="宋体" w:cs="宋体"/>
                <w:sz w:val="24"/>
                <w:szCs w:val="24"/>
                <w:highlight w:val="none"/>
              </w:rPr>
              <w:t>未配置有针对性的各类应急装备和应急物资</w:t>
            </w:r>
            <w:r>
              <w:rPr>
                <w:rFonts w:hint="eastAsia" w:ascii="宋体" w:hAnsi="宋体" w:eastAsia="宋体" w:cs="宋体"/>
                <w:sz w:val="24"/>
                <w:szCs w:val="24"/>
                <w:highlight w:val="none"/>
                <w:lang w:eastAsia="zh-CN"/>
              </w:rPr>
              <w:t>。</w:t>
            </w:r>
          </w:p>
        </w:tc>
        <w:tc>
          <w:tcPr>
            <w:tcW w:w="1211" w:type="dxa"/>
            <w:vAlign w:val="center"/>
          </w:tcPr>
          <w:p w14:paraId="4591D791">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200</w:t>
            </w:r>
          </w:p>
        </w:tc>
        <w:tc>
          <w:tcPr>
            <w:tcW w:w="1482" w:type="dxa"/>
            <w:vAlign w:val="center"/>
          </w:tcPr>
          <w:p w14:paraId="00728068">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1000</w:t>
            </w:r>
          </w:p>
        </w:tc>
      </w:tr>
      <w:tr w14:paraId="289BD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761D491C">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33</w:t>
            </w:r>
          </w:p>
        </w:tc>
        <w:tc>
          <w:tcPr>
            <w:tcW w:w="5520" w:type="dxa"/>
          </w:tcPr>
          <w:p w14:paraId="2FEDDAF9">
            <w:pPr>
              <w:numPr>
                <w:ilvl w:val="-1"/>
                <w:numId w:val="0"/>
              </w:numPr>
              <w:spacing w:line="360" w:lineRule="auto"/>
              <w:jc w:val="left"/>
              <w:rPr>
                <w:rFonts w:hint="eastAsia" w:ascii="宋体" w:hAnsi="宋体" w:eastAsia="宋体" w:cs="宋体"/>
                <w:sz w:val="24"/>
                <w:szCs w:val="24"/>
                <w:highlight w:val="none"/>
                <w:lang w:eastAsia="zh-CN"/>
              </w:rPr>
            </w:pPr>
            <w:r>
              <w:rPr>
                <w:rFonts w:ascii="宋体" w:hAnsi="宋体" w:eastAsia="宋体" w:cs="宋体"/>
                <w:sz w:val="24"/>
                <w:szCs w:val="24"/>
                <w:highlight w:val="none"/>
              </w:rPr>
              <w:t>施工人员在施工现场，未正确佩戴安全帽，未穿安全鞋、工作服、反光衣和防护手套</w:t>
            </w:r>
            <w:r>
              <w:rPr>
                <w:rFonts w:hint="eastAsia" w:ascii="宋体" w:hAnsi="宋体" w:eastAsia="宋体" w:cs="宋体"/>
                <w:sz w:val="24"/>
                <w:szCs w:val="24"/>
                <w:highlight w:val="none"/>
                <w:lang w:eastAsia="zh-CN"/>
              </w:rPr>
              <w:t>。</w:t>
            </w:r>
          </w:p>
        </w:tc>
        <w:tc>
          <w:tcPr>
            <w:tcW w:w="1211" w:type="dxa"/>
            <w:vAlign w:val="center"/>
          </w:tcPr>
          <w:p w14:paraId="007711F0">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w:t>
            </w:r>
          </w:p>
        </w:tc>
        <w:tc>
          <w:tcPr>
            <w:tcW w:w="1482" w:type="dxa"/>
            <w:vAlign w:val="center"/>
          </w:tcPr>
          <w:p w14:paraId="453ADC3B">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r>
      <w:tr w14:paraId="35156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0DBC3A02">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34</w:t>
            </w:r>
          </w:p>
        </w:tc>
        <w:tc>
          <w:tcPr>
            <w:tcW w:w="5520" w:type="dxa"/>
          </w:tcPr>
          <w:p w14:paraId="0955F1F7">
            <w:pPr>
              <w:numPr>
                <w:ilvl w:val="-1"/>
                <w:numId w:val="0"/>
              </w:numPr>
              <w:spacing w:line="360" w:lineRule="auto"/>
              <w:jc w:val="left"/>
              <w:rPr>
                <w:rFonts w:hint="eastAsia" w:ascii="宋体" w:hAnsi="宋体" w:eastAsia="宋体" w:cs="宋体"/>
                <w:sz w:val="24"/>
                <w:szCs w:val="24"/>
                <w:highlight w:val="none"/>
                <w:lang w:eastAsia="zh-CN"/>
              </w:rPr>
            </w:pPr>
            <w:r>
              <w:rPr>
                <w:rFonts w:ascii="宋体" w:hAnsi="宋体" w:eastAsia="宋体" w:cs="宋体"/>
                <w:sz w:val="24"/>
                <w:szCs w:val="24"/>
                <w:highlight w:val="none"/>
              </w:rPr>
              <w:t>施工人员在现场穿拖鞋、凉鞋、高跟鞋、短袖、短裤、漏洞牛仔裤进行作业</w:t>
            </w:r>
            <w:r>
              <w:rPr>
                <w:rFonts w:hint="eastAsia" w:ascii="宋体" w:hAnsi="宋体" w:eastAsia="宋体" w:cs="宋体"/>
                <w:sz w:val="24"/>
                <w:szCs w:val="24"/>
                <w:highlight w:val="none"/>
                <w:lang w:eastAsia="zh-CN"/>
              </w:rPr>
              <w:t>。</w:t>
            </w:r>
          </w:p>
        </w:tc>
        <w:tc>
          <w:tcPr>
            <w:tcW w:w="1211" w:type="dxa"/>
            <w:vAlign w:val="center"/>
          </w:tcPr>
          <w:p w14:paraId="344C6DF5">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w:t>
            </w:r>
          </w:p>
        </w:tc>
        <w:tc>
          <w:tcPr>
            <w:tcW w:w="1482" w:type="dxa"/>
            <w:vAlign w:val="center"/>
          </w:tcPr>
          <w:p w14:paraId="217B7557">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r>
      <w:tr w14:paraId="7DEC2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7D2B6FDB">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35</w:t>
            </w:r>
          </w:p>
        </w:tc>
        <w:tc>
          <w:tcPr>
            <w:tcW w:w="5520" w:type="dxa"/>
          </w:tcPr>
          <w:p w14:paraId="31772064">
            <w:pPr>
              <w:numPr>
                <w:ilvl w:val="-1"/>
                <w:numId w:val="0"/>
              </w:numPr>
              <w:spacing w:line="360" w:lineRule="auto"/>
              <w:jc w:val="left"/>
              <w:rPr>
                <w:rFonts w:hint="eastAsia" w:ascii="宋体" w:hAnsi="宋体" w:eastAsia="宋体" w:cs="宋体"/>
                <w:sz w:val="24"/>
                <w:szCs w:val="24"/>
                <w:highlight w:val="none"/>
                <w:lang w:val="en-US" w:eastAsia="zh-CN"/>
              </w:rPr>
            </w:pPr>
            <w:r>
              <w:rPr>
                <w:rFonts w:ascii="宋体" w:hAnsi="宋体" w:eastAsia="宋体" w:cs="宋体"/>
                <w:sz w:val="24"/>
                <w:szCs w:val="24"/>
                <w:highlight w:val="none"/>
              </w:rPr>
              <w:t>施工人员在施工现场抽烟</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施工现场位于森林草原区域从重处罚</w:t>
            </w:r>
            <w:r>
              <w:rPr>
                <w:rFonts w:hint="eastAsia" w:ascii="宋体" w:hAnsi="宋体" w:eastAsia="宋体" w:cs="宋体"/>
                <w:sz w:val="24"/>
                <w:szCs w:val="24"/>
                <w:highlight w:val="none"/>
                <w:lang w:eastAsia="zh-CN"/>
              </w:rPr>
              <w:t>）</w:t>
            </w:r>
          </w:p>
        </w:tc>
        <w:tc>
          <w:tcPr>
            <w:tcW w:w="1211" w:type="dxa"/>
            <w:vAlign w:val="center"/>
          </w:tcPr>
          <w:p w14:paraId="31F5BDA6">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w:t>
            </w:r>
          </w:p>
        </w:tc>
        <w:tc>
          <w:tcPr>
            <w:tcW w:w="1482" w:type="dxa"/>
            <w:vAlign w:val="center"/>
          </w:tcPr>
          <w:p w14:paraId="6377263A">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r>
      <w:tr w14:paraId="2D882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542BA6A3">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36</w:t>
            </w:r>
          </w:p>
        </w:tc>
        <w:tc>
          <w:tcPr>
            <w:tcW w:w="5520" w:type="dxa"/>
          </w:tcPr>
          <w:p w14:paraId="6DA1292D">
            <w:pPr>
              <w:numPr>
                <w:ilvl w:val="-1"/>
                <w:numId w:val="0"/>
              </w:numPr>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高处作业人员未佩戴安全带。</w:t>
            </w:r>
          </w:p>
        </w:tc>
        <w:tc>
          <w:tcPr>
            <w:tcW w:w="1211" w:type="dxa"/>
            <w:vAlign w:val="center"/>
          </w:tcPr>
          <w:p w14:paraId="75073401">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c>
          <w:tcPr>
            <w:tcW w:w="1482" w:type="dxa"/>
            <w:vAlign w:val="center"/>
          </w:tcPr>
          <w:p w14:paraId="243F2FC2">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2000</w:t>
            </w:r>
          </w:p>
        </w:tc>
      </w:tr>
      <w:tr w14:paraId="7C6A5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2C2A11DC">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37</w:t>
            </w:r>
          </w:p>
        </w:tc>
        <w:tc>
          <w:tcPr>
            <w:tcW w:w="5520" w:type="dxa"/>
          </w:tcPr>
          <w:p w14:paraId="6D73B66E">
            <w:pPr>
              <w:numPr>
                <w:ilvl w:val="-1"/>
                <w:numId w:val="0"/>
              </w:numPr>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电工作业人员未穿绝缘手套、绝缘鞋。</w:t>
            </w:r>
          </w:p>
        </w:tc>
        <w:tc>
          <w:tcPr>
            <w:tcW w:w="1211" w:type="dxa"/>
            <w:vAlign w:val="center"/>
          </w:tcPr>
          <w:p w14:paraId="53E6A8B8">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c>
          <w:tcPr>
            <w:tcW w:w="1482" w:type="dxa"/>
            <w:vAlign w:val="center"/>
          </w:tcPr>
          <w:p w14:paraId="14426FA0">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2000</w:t>
            </w:r>
          </w:p>
        </w:tc>
      </w:tr>
      <w:tr w14:paraId="663FB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1638D1EC">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38</w:t>
            </w:r>
          </w:p>
        </w:tc>
        <w:tc>
          <w:tcPr>
            <w:tcW w:w="5520" w:type="dxa"/>
          </w:tcPr>
          <w:p w14:paraId="7CB2BBAD">
            <w:pPr>
              <w:numPr>
                <w:ilvl w:val="-1"/>
                <w:numId w:val="0"/>
              </w:numPr>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动火作业人员未佩戴防护面罩、焊接手套。</w:t>
            </w:r>
          </w:p>
        </w:tc>
        <w:tc>
          <w:tcPr>
            <w:tcW w:w="1211" w:type="dxa"/>
            <w:vAlign w:val="center"/>
          </w:tcPr>
          <w:p w14:paraId="47290A9B">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w:t>
            </w:r>
          </w:p>
        </w:tc>
        <w:tc>
          <w:tcPr>
            <w:tcW w:w="1482" w:type="dxa"/>
            <w:vAlign w:val="center"/>
          </w:tcPr>
          <w:p w14:paraId="4908A067">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2000</w:t>
            </w:r>
          </w:p>
        </w:tc>
      </w:tr>
      <w:tr w14:paraId="19976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6E8A365F">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39</w:t>
            </w:r>
          </w:p>
        </w:tc>
        <w:tc>
          <w:tcPr>
            <w:tcW w:w="5520" w:type="dxa"/>
          </w:tcPr>
          <w:p w14:paraId="4CBE98FC">
            <w:pPr>
              <w:numPr>
                <w:ilvl w:val="-1"/>
                <w:numId w:val="0"/>
              </w:numPr>
              <w:spacing w:line="360" w:lineRule="auto"/>
              <w:jc w:val="left"/>
              <w:rPr>
                <w:rFonts w:hint="eastAsia" w:ascii="宋体" w:hAnsi="宋体" w:eastAsia="宋体" w:cs="宋体"/>
                <w:sz w:val="24"/>
                <w:szCs w:val="24"/>
                <w:highlight w:val="none"/>
                <w:lang w:eastAsia="zh-CN"/>
              </w:rPr>
            </w:pPr>
            <w:r>
              <w:rPr>
                <w:rFonts w:ascii="宋体" w:hAnsi="宋体" w:eastAsia="宋体" w:cs="宋体"/>
                <w:sz w:val="24"/>
                <w:szCs w:val="24"/>
                <w:highlight w:val="none"/>
              </w:rPr>
              <w:t>有限空间作业未配置空气检测仪，未佩戴长管呼吸器或正压呼吸器</w:t>
            </w:r>
            <w:r>
              <w:rPr>
                <w:rFonts w:hint="eastAsia" w:ascii="宋体" w:hAnsi="宋体" w:eastAsia="宋体" w:cs="宋体"/>
                <w:sz w:val="24"/>
                <w:szCs w:val="24"/>
                <w:highlight w:val="none"/>
                <w:lang w:eastAsia="zh-CN"/>
              </w:rPr>
              <w:t>。</w:t>
            </w:r>
          </w:p>
        </w:tc>
        <w:tc>
          <w:tcPr>
            <w:tcW w:w="1211" w:type="dxa"/>
            <w:vAlign w:val="center"/>
          </w:tcPr>
          <w:p w14:paraId="2294A9C0">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1000</w:t>
            </w:r>
          </w:p>
        </w:tc>
        <w:tc>
          <w:tcPr>
            <w:tcW w:w="1482" w:type="dxa"/>
            <w:vAlign w:val="center"/>
          </w:tcPr>
          <w:p w14:paraId="1EB17AA7">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5000或停工整改</w:t>
            </w:r>
          </w:p>
        </w:tc>
      </w:tr>
      <w:tr w14:paraId="1915D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3" w:type="dxa"/>
            <w:vAlign w:val="center"/>
          </w:tcPr>
          <w:p w14:paraId="002F2391">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40</w:t>
            </w:r>
          </w:p>
        </w:tc>
        <w:tc>
          <w:tcPr>
            <w:tcW w:w="5520" w:type="dxa"/>
          </w:tcPr>
          <w:p w14:paraId="05821EEB">
            <w:pPr>
              <w:numPr>
                <w:ilvl w:val="-1"/>
                <w:numId w:val="0"/>
              </w:numPr>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施工人员在工作期间饮酒，或酒后上岗</w:t>
            </w:r>
          </w:p>
        </w:tc>
        <w:tc>
          <w:tcPr>
            <w:tcW w:w="1211" w:type="dxa"/>
            <w:vAlign w:val="center"/>
          </w:tcPr>
          <w:p w14:paraId="7946B3F3">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1000</w:t>
            </w:r>
          </w:p>
        </w:tc>
        <w:tc>
          <w:tcPr>
            <w:tcW w:w="1482" w:type="dxa"/>
            <w:vAlign w:val="center"/>
          </w:tcPr>
          <w:p w14:paraId="00EDB462">
            <w:pPr>
              <w:numPr>
                <w:ilvl w:val="-1"/>
                <w:numId w:val="0"/>
              </w:numPr>
              <w:spacing w:line="360" w:lineRule="auto"/>
              <w:jc w:val="center"/>
              <w:rPr>
                <w:rFonts w:hint="default" w:asciiTheme="minorEastAsia" w:hAnsiTheme="minorEastAsia" w:eastAsiaTheme="minorEastAsia" w:cstheme="minorEastAsia"/>
                <w:sz w:val="28"/>
                <w:szCs w:val="28"/>
                <w:highlight w:val="none"/>
                <w:vertAlign w:val="baseline"/>
                <w:lang w:val="en-US" w:eastAsia="zh-CN"/>
              </w:rPr>
            </w:pPr>
            <w:r>
              <w:rPr>
                <w:rFonts w:hint="eastAsia" w:asciiTheme="minorEastAsia" w:hAnsiTheme="minorEastAsia" w:eastAsiaTheme="minorEastAsia" w:cstheme="minorEastAsia"/>
                <w:sz w:val="28"/>
                <w:szCs w:val="28"/>
                <w:highlight w:val="none"/>
                <w:vertAlign w:val="baseline"/>
                <w:lang w:val="en-US" w:eastAsia="zh-CN"/>
              </w:rPr>
              <w:t>5000或停工整改</w:t>
            </w:r>
          </w:p>
        </w:tc>
      </w:tr>
    </w:tbl>
    <w:p w14:paraId="0DC3CD1F">
      <w:pPr>
        <w:pStyle w:val="8"/>
        <w:spacing w:line="560" w:lineRule="exact"/>
        <w:ind w:left="0" w:leftChars="0" w:firstLine="560" w:firstLineChars="200"/>
        <w:jc w:val="left"/>
        <w:rPr>
          <w:rFonts w:hint="eastAsia" w:asciiTheme="minorEastAsia" w:hAnsiTheme="minorEastAsia" w:eastAsiaTheme="minorEastAsia" w:cstheme="minorEastAsia"/>
          <w:sz w:val="28"/>
          <w:szCs w:val="28"/>
          <w:highlight w:val="none"/>
        </w:rPr>
      </w:pPr>
      <w:r>
        <w:rPr>
          <w:rFonts w:hint="eastAsia" w:ascii="仿宋" w:hAnsi="仿宋" w:eastAsia="仿宋" w:cs="仿宋"/>
          <w:color w:val="auto"/>
          <w:kern w:val="2"/>
          <w:sz w:val="28"/>
          <w:szCs w:val="24"/>
          <w:highlight w:val="none"/>
          <w:lang w:val="en-US" w:eastAsia="zh-CN" w:bidi="ar-SA"/>
        </w:rPr>
        <w:t>二十、本合同作为附件，与</w:t>
      </w:r>
      <w:r>
        <w:rPr>
          <w:rFonts w:hint="eastAsia" w:ascii="仿宋" w:hAnsi="仿宋" w:eastAsia="仿宋" w:cs="仿宋"/>
          <w:b w:val="0"/>
          <w:color w:val="auto"/>
          <w:sz w:val="28"/>
          <w:szCs w:val="22"/>
          <w:highlight w:val="none"/>
          <w:lang w:val="en-US" w:eastAsia="zh-CN"/>
        </w:rPr>
        <w:t>淮口服务区充（换）电站高压改迁工程</w:t>
      </w:r>
      <w:r>
        <w:rPr>
          <w:rFonts w:hint="eastAsia" w:ascii="仿宋" w:hAnsi="仿宋" w:eastAsia="仿宋" w:cs="仿宋"/>
          <w:b w:val="0"/>
          <w:color w:val="auto"/>
          <w:kern w:val="2"/>
          <w:sz w:val="28"/>
          <w:szCs w:val="24"/>
          <w:highlight w:val="none"/>
          <w:u w:val="none"/>
          <w:lang w:val="en-US" w:eastAsia="zh-CN"/>
        </w:rPr>
        <w:t>《</w:t>
      </w:r>
      <w:r>
        <w:rPr>
          <w:rFonts w:hint="eastAsia" w:ascii="仿宋" w:hAnsi="仿宋" w:eastAsia="仿宋" w:cs="仿宋"/>
          <w:b w:val="0"/>
          <w:color w:val="auto"/>
          <w:sz w:val="28"/>
          <w:szCs w:val="22"/>
          <w:highlight w:val="none"/>
          <w:lang w:val="en-US" w:eastAsia="zh-CN"/>
        </w:rPr>
        <w:t>建设工程</w:t>
      </w:r>
      <w:r>
        <w:rPr>
          <w:rFonts w:hint="eastAsia" w:ascii="仿宋" w:hAnsi="仿宋" w:eastAsia="仿宋" w:cs="仿宋"/>
          <w:b w:val="0"/>
          <w:bCs w:val="0"/>
          <w:color w:val="auto"/>
          <w:kern w:val="2"/>
          <w:sz w:val="28"/>
          <w:szCs w:val="28"/>
          <w:highlight w:val="none"/>
          <w:lang w:val="en-US" w:eastAsia="zh-CN" w:bidi="ar-SA"/>
        </w:rPr>
        <w:t>施</w:t>
      </w:r>
      <w:r>
        <w:rPr>
          <w:rFonts w:hint="eastAsia" w:ascii="仿宋" w:hAnsi="仿宋" w:eastAsia="仿宋" w:cs="仿宋"/>
          <w:b w:val="0"/>
          <w:bCs w:val="0"/>
          <w:color w:val="auto"/>
          <w:kern w:val="2"/>
          <w:sz w:val="28"/>
          <w:szCs w:val="22"/>
          <w:highlight w:val="none"/>
          <w:lang w:val="en-US" w:eastAsia="zh-CN" w:bidi="en-US"/>
        </w:rPr>
        <w:t>工</w:t>
      </w:r>
      <w:r>
        <w:rPr>
          <w:rFonts w:hint="eastAsia" w:ascii="仿宋" w:hAnsi="仿宋" w:eastAsia="仿宋" w:cs="仿宋"/>
          <w:b w:val="0"/>
          <w:color w:val="auto"/>
          <w:sz w:val="28"/>
          <w:szCs w:val="22"/>
          <w:highlight w:val="none"/>
        </w:rPr>
        <w:t>合同</w:t>
      </w:r>
      <w:r>
        <w:rPr>
          <w:rFonts w:hint="eastAsia" w:ascii="仿宋" w:hAnsi="仿宋" w:eastAsia="仿宋" w:cs="仿宋"/>
          <w:b w:val="0"/>
          <w:color w:val="auto"/>
          <w:kern w:val="2"/>
          <w:sz w:val="28"/>
          <w:szCs w:val="22"/>
          <w:highlight w:val="none"/>
          <w:u w:val="none"/>
          <w:lang w:eastAsia="zh-CN"/>
        </w:rPr>
        <w:t>》</w:t>
      </w:r>
      <w:r>
        <w:rPr>
          <w:rFonts w:hint="eastAsia" w:ascii="仿宋" w:hAnsi="仿宋" w:eastAsia="仿宋" w:cs="仿宋"/>
          <w:color w:val="auto"/>
          <w:kern w:val="2"/>
          <w:sz w:val="28"/>
          <w:szCs w:val="24"/>
          <w:highlight w:val="none"/>
          <w:lang w:val="en-US" w:eastAsia="zh-CN" w:bidi="ar-SA"/>
        </w:rPr>
        <w:t>（合同编号：       ）具有同等的法律效力，经合同双方签署立即生效。本合同一式捌份，由甲方执肆份，乙方执肆份。</w:t>
      </w:r>
    </w:p>
    <w:p w14:paraId="485D7BD7">
      <w:pPr>
        <w:spacing w:line="360" w:lineRule="auto"/>
        <w:ind w:firstLine="560" w:firstLineChars="200"/>
        <w:jc w:val="left"/>
        <w:rPr>
          <w:rFonts w:hint="eastAsia" w:ascii="仿宋" w:hAnsi="仿宋" w:eastAsia="仿宋" w:cs="仿宋"/>
          <w:color w:val="auto"/>
          <w:sz w:val="28"/>
          <w:szCs w:val="24"/>
          <w:highlight w:val="none"/>
          <w:lang w:val="en-US" w:eastAsia="zh-CN"/>
        </w:rPr>
      </w:pPr>
      <w:r>
        <w:rPr>
          <w:rFonts w:hint="eastAsia" w:ascii="仿宋" w:hAnsi="仿宋" w:eastAsia="仿宋" w:cs="仿宋"/>
          <w:color w:val="auto"/>
          <w:sz w:val="28"/>
          <w:szCs w:val="24"/>
          <w:highlight w:val="none"/>
          <w:lang w:val="en-US" w:eastAsia="zh-CN"/>
        </w:rPr>
        <w:t>以下无正文。</w:t>
      </w:r>
    </w:p>
    <w:tbl>
      <w:tblPr>
        <w:tblStyle w:val="16"/>
        <w:tblpPr w:leftFromText="180" w:rightFromText="180" w:vertAnchor="text" w:horzAnchor="page" w:tblpX="1845" w:tblpY="762"/>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28"/>
        <w:gridCol w:w="4428"/>
      </w:tblGrid>
      <w:tr w14:paraId="0021A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2" w:hRule="atLeast"/>
        </w:trPr>
        <w:tc>
          <w:tcPr>
            <w:tcW w:w="2500" w:type="pct"/>
            <w:noWrap w:val="0"/>
            <w:vAlign w:val="top"/>
          </w:tcPr>
          <w:p w14:paraId="2592B1D6">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lang w:val="en-US" w:eastAsia="zh-CN"/>
              </w:rPr>
              <w:t>甲方（盖章）</w:t>
            </w:r>
            <w:r>
              <w:rPr>
                <w:rFonts w:hint="eastAsia" w:ascii="仿宋" w:hAnsi="仿宋" w:eastAsia="仿宋" w:cs="仿宋"/>
                <w:color w:val="auto"/>
                <w:sz w:val="28"/>
                <w:szCs w:val="28"/>
                <w:highlight w:val="none"/>
              </w:rPr>
              <w:t>：四川蜀道新能源科技发展有限公司</w:t>
            </w:r>
          </w:p>
        </w:tc>
        <w:tc>
          <w:tcPr>
            <w:tcW w:w="2500" w:type="pct"/>
            <w:noWrap w:val="0"/>
            <w:vAlign w:val="top"/>
          </w:tcPr>
          <w:p w14:paraId="2DAA6B92">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default"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lang w:val="en-US" w:eastAsia="zh-CN"/>
              </w:rPr>
              <w:t>乙方（盖章）</w:t>
            </w:r>
            <w:r>
              <w:rPr>
                <w:rFonts w:hint="eastAsia" w:ascii="仿宋" w:hAnsi="仿宋" w:eastAsia="仿宋" w:cs="仿宋"/>
                <w:color w:val="auto"/>
                <w:sz w:val="28"/>
                <w:szCs w:val="28"/>
                <w:highlight w:val="none"/>
              </w:rPr>
              <w:t>：</w:t>
            </w:r>
          </w:p>
        </w:tc>
      </w:tr>
      <w:tr w14:paraId="3404C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2500" w:type="pct"/>
            <w:noWrap w:val="0"/>
            <w:vAlign w:val="top"/>
          </w:tcPr>
          <w:p w14:paraId="091ADC5C">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rPr>
            </w:pPr>
          </w:p>
          <w:p w14:paraId="14369F62">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法定代表人</w:t>
            </w:r>
            <w:r>
              <w:rPr>
                <w:rFonts w:hint="eastAsia" w:ascii="仿宋" w:hAnsi="仿宋" w:eastAsia="仿宋" w:cs="仿宋"/>
                <w:color w:val="auto"/>
                <w:sz w:val="28"/>
                <w:szCs w:val="28"/>
                <w:highlight w:val="none"/>
                <w:lang w:eastAsia="zh-CN"/>
              </w:rPr>
              <w:t>：</w:t>
            </w:r>
          </w:p>
          <w:p w14:paraId="1D3E481B">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rPr>
            </w:pPr>
            <w:r>
              <w:rPr>
                <w:rFonts w:hint="eastAsia" w:ascii="仿宋" w:hAnsi="仿宋" w:eastAsia="仿宋" w:cs="仿宋"/>
                <w:color w:val="auto"/>
                <w:sz w:val="28"/>
                <w:szCs w:val="28"/>
                <w:highlight w:val="none"/>
                <w:lang w:val="en-US" w:eastAsia="zh-CN"/>
              </w:rPr>
              <w:t>或</w:t>
            </w:r>
            <w:r>
              <w:rPr>
                <w:rFonts w:hint="eastAsia" w:ascii="仿宋" w:hAnsi="仿宋" w:eastAsia="仿宋" w:cs="仿宋"/>
                <w:color w:val="auto"/>
                <w:sz w:val="28"/>
                <w:szCs w:val="28"/>
                <w:highlight w:val="none"/>
              </w:rPr>
              <w:t>委托代理人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签字</w:t>
            </w:r>
            <w:r>
              <w:rPr>
                <w:rFonts w:hint="eastAsia" w:ascii="仿宋" w:hAnsi="仿宋" w:eastAsia="仿宋" w:cs="仿宋"/>
                <w:color w:val="auto"/>
                <w:sz w:val="28"/>
                <w:szCs w:val="28"/>
                <w:highlight w:val="none"/>
                <w:lang w:eastAsia="zh-CN"/>
              </w:rPr>
              <w:t>）：</w:t>
            </w:r>
          </w:p>
        </w:tc>
        <w:tc>
          <w:tcPr>
            <w:tcW w:w="2500" w:type="pct"/>
            <w:noWrap w:val="0"/>
            <w:vAlign w:val="top"/>
          </w:tcPr>
          <w:p w14:paraId="00E948E3">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rPr>
            </w:pPr>
          </w:p>
          <w:p w14:paraId="288C2F57">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法定代表人</w:t>
            </w:r>
            <w:r>
              <w:rPr>
                <w:rFonts w:hint="eastAsia" w:ascii="仿宋" w:hAnsi="仿宋" w:eastAsia="仿宋" w:cs="仿宋"/>
                <w:color w:val="auto"/>
                <w:sz w:val="28"/>
                <w:szCs w:val="28"/>
                <w:highlight w:val="none"/>
                <w:lang w:eastAsia="zh-CN"/>
              </w:rPr>
              <w:t>：</w:t>
            </w:r>
          </w:p>
          <w:p w14:paraId="02546A04">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rPr>
            </w:pPr>
            <w:r>
              <w:rPr>
                <w:rFonts w:hint="eastAsia" w:ascii="仿宋" w:hAnsi="仿宋" w:eastAsia="仿宋" w:cs="仿宋"/>
                <w:color w:val="auto"/>
                <w:sz w:val="28"/>
                <w:szCs w:val="28"/>
                <w:highlight w:val="none"/>
                <w:lang w:val="en-US" w:eastAsia="zh-CN"/>
              </w:rPr>
              <w:t>或</w:t>
            </w:r>
            <w:r>
              <w:rPr>
                <w:rFonts w:hint="eastAsia" w:ascii="仿宋" w:hAnsi="仿宋" w:eastAsia="仿宋" w:cs="仿宋"/>
                <w:color w:val="auto"/>
                <w:sz w:val="28"/>
                <w:szCs w:val="28"/>
                <w:highlight w:val="none"/>
              </w:rPr>
              <w:t>委托代理人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签字</w:t>
            </w:r>
            <w:r>
              <w:rPr>
                <w:rFonts w:hint="eastAsia" w:ascii="仿宋" w:hAnsi="仿宋" w:eastAsia="仿宋" w:cs="仿宋"/>
                <w:color w:val="auto"/>
                <w:sz w:val="28"/>
                <w:szCs w:val="28"/>
                <w:highlight w:val="none"/>
                <w:lang w:eastAsia="zh-CN"/>
              </w:rPr>
              <w:t>）：</w:t>
            </w:r>
          </w:p>
        </w:tc>
      </w:tr>
      <w:tr w14:paraId="21BE2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5000" w:type="pct"/>
            <w:gridSpan w:val="2"/>
            <w:noWrap w:val="0"/>
            <w:vAlign w:val="top"/>
          </w:tcPr>
          <w:p w14:paraId="65546EB5">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rPr>
            </w:pPr>
            <w:r>
              <w:rPr>
                <w:rFonts w:hint="eastAsia" w:ascii="仿宋" w:hAnsi="仿宋" w:eastAsia="仿宋" w:cs="仿宋"/>
                <w:color w:val="auto"/>
                <w:sz w:val="28"/>
                <w:szCs w:val="28"/>
                <w:highlight w:val="none"/>
              </w:rPr>
              <w:t>签订日期：</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 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日</w:t>
            </w:r>
          </w:p>
        </w:tc>
      </w:tr>
    </w:tbl>
    <w:p w14:paraId="3D1A026C">
      <w:pPr>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br w:type="page"/>
      </w:r>
    </w:p>
    <w:p w14:paraId="7A51A0CE">
      <w:pPr>
        <w:pStyle w:val="11"/>
        <w:spacing w:before="156" w:beforeLines="50" w:after="156" w:afterLines="50"/>
        <w:rPr>
          <w:rFonts w:ascii="Times New Roman" w:hAnsi="Times New Roman" w:cs="Times New Roman"/>
          <w:b/>
          <w:color w:val="auto"/>
          <w:sz w:val="24"/>
          <w:highlight w:val="none"/>
        </w:rPr>
      </w:pPr>
      <w:r>
        <w:rPr>
          <w:rFonts w:hint="default" w:ascii="Times New Roman" w:hAnsi="Times New Roman" w:cs="Times New Roman"/>
          <w:b/>
          <w:color w:val="auto"/>
          <w:sz w:val="24"/>
          <w:highlight w:val="none"/>
        </w:rPr>
        <w:t>附件</w:t>
      </w:r>
      <w:r>
        <w:rPr>
          <w:rFonts w:hint="eastAsia" w:ascii="Times New Roman" w:hAnsi="Times New Roman" w:cs="Times New Roman"/>
          <w:b/>
          <w:color w:val="auto"/>
          <w:sz w:val="24"/>
          <w:highlight w:val="none"/>
          <w:lang w:val="en-US" w:eastAsia="zh-CN"/>
        </w:rPr>
        <w:t>3</w:t>
      </w:r>
      <w:r>
        <w:rPr>
          <w:rFonts w:hint="default" w:ascii="Times New Roman" w:hAnsi="Times New Roman" w:cs="Times New Roman"/>
          <w:b/>
          <w:color w:val="auto"/>
          <w:sz w:val="24"/>
          <w:highlight w:val="none"/>
        </w:rPr>
        <w:t xml:space="preserve"> </w:t>
      </w:r>
    </w:p>
    <w:p w14:paraId="497330F8">
      <w:pPr>
        <w:jc w:val="center"/>
        <w:rPr>
          <w:rFonts w:hint="eastAsia" w:ascii="方正小标宋_GBK" w:hAnsi="方正小标宋_GBK" w:eastAsia="方正小标宋_GBK" w:cs="方正小标宋_GBK"/>
          <w:color w:val="auto"/>
          <w:sz w:val="32"/>
          <w:szCs w:val="32"/>
          <w:highlight w:val="none"/>
          <w:lang w:eastAsia="zh-CN"/>
        </w:rPr>
      </w:pPr>
      <w:r>
        <w:rPr>
          <w:rFonts w:hint="eastAsia" w:ascii="方正小标宋_GBK" w:hAnsi="方正小标宋_GBK" w:eastAsia="方正小标宋_GBK" w:cs="方正小标宋_GBK"/>
          <w:b/>
          <w:color w:val="auto"/>
          <w:kern w:val="0"/>
          <w:sz w:val="32"/>
          <w:szCs w:val="32"/>
          <w:highlight w:val="none"/>
        </w:rPr>
        <w:t>廉政合同</w:t>
      </w:r>
    </w:p>
    <w:p w14:paraId="45521449">
      <w:pPr>
        <w:pStyle w:val="8"/>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CN"/>
        </w:rPr>
        <w:t xml:space="preserve">            </w:t>
      </w:r>
      <w:r>
        <w:rPr>
          <w:rFonts w:hint="eastAsia" w:ascii="仿宋" w:hAnsi="仿宋" w:eastAsia="仿宋" w:cs="仿宋"/>
          <w:b/>
          <w:bCs/>
          <w:color w:val="auto"/>
          <w:sz w:val="28"/>
          <w:szCs w:val="28"/>
          <w:highlight w:val="none"/>
        </w:rPr>
        <w:t>编 号：</w:t>
      </w:r>
    </w:p>
    <w:p w14:paraId="66422AE1">
      <w:pPr>
        <w:keepNext w:val="0"/>
        <w:keepLines w:val="0"/>
        <w:pageBreakBefore w:val="0"/>
        <w:widowControl w:val="0"/>
        <w:kinsoku/>
        <w:wordWrap/>
        <w:overflowPunct/>
        <w:topLinePunct w:val="0"/>
        <w:autoSpaceDE/>
        <w:autoSpaceDN/>
        <w:bidi w:val="0"/>
        <w:adjustRightInd/>
        <w:snapToGrid/>
        <w:spacing w:line="560" w:lineRule="exact"/>
        <w:ind w:firstLine="570"/>
        <w:textAlignment w:val="auto"/>
        <w:rPr>
          <w:rFonts w:hint="eastAsia" w:ascii="仿宋" w:hAnsi="仿宋" w:eastAsia="仿宋" w:cs="仿宋"/>
          <w:color w:val="auto"/>
          <w:sz w:val="28"/>
          <w:highlight w:val="none"/>
        </w:rPr>
      </w:pPr>
      <w:r>
        <w:rPr>
          <w:rFonts w:hint="eastAsia" w:ascii="仿宋" w:hAnsi="仿宋" w:eastAsia="仿宋" w:cs="仿宋"/>
          <w:color w:val="auto"/>
          <w:sz w:val="28"/>
          <w:highlight w:val="none"/>
        </w:rPr>
        <w:t>为共同维护公平、公正、廉洁的市场秩序，防止商业贿赂，避免违规违纪行为的发生，共同维护职业行为的廉洁性，甲乙双方在</w:t>
      </w:r>
      <w:r>
        <w:rPr>
          <w:rFonts w:hint="eastAsia" w:ascii="仿宋" w:hAnsi="仿宋" w:eastAsia="仿宋" w:cs="仿宋"/>
          <w:b w:val="0"/>
          <w:color w:val="auto"/>
          <w:kern w:val="2"/>
          <w:sz w:val="28"/>
          <w:szCs w:val="22"/>
          <w:highlight w:val="none"/>
          <w:u w:val="none"/>
        </w:rPr>
        <w:t>四川蜀道</w:t>
      </w:r>
      <w:r>
        <w:rPr>
          <w:rFonts w:hint="eastAsia" w:ascii="仿宋" w:hAnsi="仿宋" w:eastAsia="仿宋" w:cs="仿宋"/>
          <w:b w:val="0"/>
          <w:color w:val="auto"/>
          <w:kern w:val="2"/>
          <w:sz w:val="28"/>
          <w:szCs w:val="22"/>
          <w:highlight w:val="none"/>
          <w:u w:val="none"/>
          <w:lang w:val="en-US" w:eastAsia="zh-CN"/>
        </w:rPr>
        <w:t>新能源科技发展有限公司</w:t>
      </w:r>
      <w:r>
        <w:rPr>
          <w:rFonts w:hint="eastAsia" w:ascii="仿宋" w:hAnsi="仿宋" w:eastAsia="仿宋" w:cs="仿宋"/>
          <w:b w:val="0"/>
          <w:color w:val="auto"/>
          <w:sz w:val="28"/>
          <w:szCs w:val="22"/>
          <w:highlight w:val="none"/>
          <w:lang w:val="en-US" w:eastAsia="zh-CN"/>
        </w:rPr>
        <w:t>淮口服务区充（换）电站高压改迁工程</w:t>
      </w:r>
      <w:r>
        <w:rPr>
          <w:rFonts w:hint="eastAsia" w:ascii="仿宋" w:hAnsi="仿宋" w:eastAsia="仿宋" w:cs="仿宋"/>
          <w:b w:val="0"/>
          <w:color w:val="auto"/>
          <w:kern w:val="2"/>
          <w:sz w:val="28"/>
          <w:szCs w:val="22"/>
          <w:highlight w:val="none"/>
          <w:u w:val="none"/>
          <w:lang w:val="en-US" w:eastAsia="zh-CN"/>
        </w:rPr>
        <w:t>《</w:t>
      </w:r>
      <w:r>
        <w:rPr>
          <w:rFonts w:hint="eastAsia" w:ascii="仿宋" w:hAnsi="仿宋" w:eastAsia="仿宋" w:cs="仿宋"/>
          <w:b w:val="0"/>
          <w:color w:val="auto"/>
          <w:sz w:val="28"/>
          <w:szCs w:val="22"/>
          <w:highlight w:val="none"/>
          <w:lang w:val="en-US" w:eastAsia="zh-CN"/>
        </w:rPr>
        <w:t>建设工程</w:t>
      </w:r>
      <w:r>
        <w:rPr>
          <w:rFonts w:hint="eastAsia" w:ascii="仿宋" w:hAnsi="仿宋" w:eastAsia="仿宋" w:cs="仿宋"/>
          <w:b w:val="0"/>
          <w:color w:val="auto"/>
          <w:sz w:val="28"/>
          <w:szCs w:val="22"/>
          <w:highlight w:val="none"/>
        </w:rPr>
        <w:t>施工合同</w:t>
      </w:r>
      <w:r>
        <w:rPr>
          <w:rFonts w:hint="eastAsia" w:ascii="仿宋" w:hAnsi="仿宋" w:eastAsia="仿宋" w:cs="仿宋"/>
          <w:b w:val="0"/>
          <w:color w:val="auto"/>
          <w:kern w:val="2"/>
          <w:sz w:val="28"/>
          <w:szCs w:val="22"/>
          <w:highlight w:val="none"/>
          <w:u w:val="none"/>
          <w:lang w:eastAsia="zh-CN"/>
        </w:rPr>
        <w:t>》</w:t>
      </w:r>
      <w:r>
        <w:rPr>
          <w:rFonts w:hint="eastAsia" w:ascii="仿宋" w:hAnsi="仿宋" w:eastAsia="仿宋" w:cs="仿宋"/>
          <w:color w:val="auto"/>
          <w:sz w:val="28"/>
          <w:highlight w:val="none"/>
        </w:rPr>
        <w:t>的签定及实施过程中，应共同遵守以下条款：</w:t>
      </w:r>
    </w:p>
    <w:p w14:paraId="089E485E">
      <w:pPr>
        <w:pStyle w:val="11"/>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b/>
          <w:bCs/>
          <w:color w:val="auto"/>
          <w:kern w:val="2"/>
          <w:sz w:val="28"/>
          <w:szCs w:val="24"/>
          <w:highlight w:val="none"/>
          <w:lang w:val="en-US" w:eastAsia="zh-CN" w:bidi="ar-SA"/>
        </w:rPr>
      </w:pPr>
      <w:r>
        <w:rPr>
          <w:rFonts w:hint="eastAsia" w:ascii="仿宋" w:hAnsi="仿宋" w:eastAsia="仿宋" w:cs="仿宋"/>
          <w:b/>
          <w:bCs/>
          <w:color w:val="auto"/>
          <w:kern w:val="2"/>
          <w:sz w:val="28"/>
          <w:szCs w:val="24"/>
          <w:highlight w:val="none"/>
          <w:lang w:val="en-US" w:eastAsia="zh-CN" w:bidi="ar-SA"/>
        </w:rPr>
        <w:t>第一条  甲乙双方的权利和义务</w:t>
      </w:r>
    </w:p>
    <w:p w14:paraId="6FD976CD">
      <w:pPr>
        <w:pStyle w:val="11"/>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1.严格遵守党和国家有关法律法规及交通运输部的有关规定。</w:t>
      </w:r>
    </w:p>
    <w:p w14:paraId="6D9B6652">
      <w:pPr>
        <w:pStyle w:val="11"/>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2.严格执行本项目的合同文件，自觉按合同办事。</w:t>
      </w:r>
    </w:p>
    <w:p w14:paraId="0942C94F">
      <w:pPr>
        <w:pStyle w:val="11"/>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3.双方的业务活动坚持公开、公正、诚信、透明的原则(除法律认定的商业秘密和合同文件另有规定之外)，不得损害国家和集体利益，不得违反相关管理规章制度。</w:t>
      </w:r>
    </w:p>
    <w:p w14:paraId="0A5FFDCC">
      <w:pPr>
        <w:pStyle w:val="11"/>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4.建立健全相关机制，开展廉政教育，公布举报电话，监督并认真查处违法违纪行为。</w:t>
      </w:r>
    </w:p>
    <w:p w14:paraId="3B09D616">
      <w:pPr>
        <w:pStyle w:val="11"/>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5.发现对方在业务活动中有违反廉政规定的行为，有及时提醒对方纠正的权利和义务。</w:t>
      </w:r>
    </w:p>
    <w:p w14:paraId="382BFB98">
      <w:pPr>
        <w:pStyle w:val="11"/>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Ansi="宋体" w:cs="Times New Roman"/>
          <w:sz w:val="24"/>
          <w:szCs w:val="24"/>
          <w:highlight w:val="none"/>
        </w:rPr>
      </w:pPr>
      <w:r>
        <w:rPr>
          <w:rFonts w:hint="eastAsia" w:ascii="仿宋" w:hAnsi="仿宋" w:eastAsia="仿宋" w:cs="仿宋"/>
          <w:color w:val="auto"/>
          <w:kern w:val="2"/>
          <w:sz w:val="28"/>
          <w:szCs w:val="24"/>
          <w:highlight w:val="none"/>
          <w:lang w:val="en-US" w:eastAsia="zh-CN" w:bidi="ar-SA"/>
        </w:rPr>
        <w:t>6.发现对方严重违反本合同义务条款的行为，有向其上级有关部门举报，建议给予处理并要求告知处理结果的权利。</w:t>
      </w:r>
    </w:p>
    <w:p w14:paraId="2D2A4C0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仿宋" w:hAnsi="仿宋" w:eastAsia="仿宋" w:cs="仿宋"/>
          <w:b/>
          <w:bCs/>
          <w:color w:val="auto"/>
          <w:sz w:val="28"/>
          <w:highlight w:val="none"/>
          <w:lang w:val="en-US" w:eastAsia="zh-CN"/>
        </w:rPr>
      </w:pPr>
      <w:r>
        <w:rPr>
          <w:rFonts w:hint="eastAsia" w:ascii="仿宋" w:hAnsi="仿宋" w:eastAsia="仿宋" w:cs="仿宋"/>
          <w:b/>
          <w:bCs/>
          <w:color w:val="auto"/>
          <w:sz w:val="28"/>
          <w:highlight w:val="none"/>
          <w:lang w:val="en-US" w:eastAsia="zh-CN"/>
        </w:rPr>
        <w:t xml:space="preserve">第二条  </w:t>
      </w:r>
      <w:r>
        <w:rPr>
          <w:rFonts w:hint="eastAsia" w:ascii="仿宋" w:hAnsi="仿宋" w:eastAsia="仿宋" w:cs="仿宋"/>
          <w:b/>
          <w:bCs/>
          <w:color w:val="auto"/>
          <w:sz w:val="28"/>
          <w:highlight w:val="none"/>
        </w:rPr>
        <w:t>甲方</w:t>
      </w:r>
      <w:r>
        <w:rPr>
          <w:rFonts w:hint="eastAsia" w:ascii="仿宋" w:hAnsi="仿宋" w:eastAsia="仿宋" w:cs="仿宋"/>
          <w:b/>
          <w:bCs/>
          <w:color w:val="auto"/>
          <w:sz w:val="28"/>
          <w:highlight w:val="none"/>
          <w:lang w:val="en-US" w:eastAsia="zh-CN"/>
        </w:rPr>
        <w:t>的义务</w:t>
      </w:r>
    </w:p>
    <w:p w14:paraId="7A277DB6">
      <w:pPr>
        <w:keepNext w:val="0"/>
        <w:keepLines w:val="0"/>
        <w:pageBreakBefore w:val="0"/>
        <w:widowControl w:val="0"/>
        <w:kinsoku/>
        <w:wordWrap/>
        <w:overflowPunct/>
        <w:topLinePunct w:val="0"/>
        <w:autoSpaceDE/>
        <w:autoSpaceDN/>
        <w:bidi w:val="0"/>
        <w:adjustRightInd/>
        <w:snapToGrid/>
        <w:spacing w:line="560" w:lineRule="exact"/>
        <w:ind w:firstLine="570"/>
        <w:textAlignment w:val="auto"/>
        <w:rPr>
          <w:rFonts w:hint="eastAsia" w:ascii="仿宋" w:hAnsi="仿宋" w:eastAsia="仿宋" w:cs="仿宋"/>
          <w:color w:val="auto"/>
          <w:sz w:val="28"/>
          <w:highlight w:val="none"/>
        </w:rPr>
      </w:pPr>
      <w:r>
        <w:rPr>
          <w:rFonts w:hint="eastAsia" w:ascii="仿宋" w:hAnsi="仿宋" w:eastAsia="仿宋" w:cs="仿宋"/>
          <w:color w:val="auto"/>
          <w:sz w:val="28"/>
          <w:highlight w:val="none"/>
        </w:rPr>
        <w:t>1.甲方及其工作人员不索取或接受乙方提供的</w:t>
      </w:r>
      <w:r>
        <w:rPr>
          <w:rFonts w:hint="eastAsia" w:ascii="仿宋" w:hAnsi="仿宋" w:eastAsia="仿宋" w:cs="仿宋"/>
          <w:color w:val="auto"/>
          <w:sz w:val="28"/>
          <w:highlight w:val="none"/>
          <w:lang w:val="en-US" w:eastAsia="zh-CN"/>
        </w:rPr>
        <w:t>土特产、</w:t>
      </w:r>
      <w:r>
        <w:rPr>
          <w:rFonts w:hint="eastAsia" w:ascii="仿宋" w:hAnsi="仿宋" w:eastAsia="仿宋" w:cs="仿宋"/>
          <w:color w:val="auto"/>
          <w:sz w:val="28"/>
          <w:highlight w:val="none"/>
        </w:rPr>
        <w:t>礼品、礼金、有价证券、支付凭证、商业回扣等一切物质性利益</w:t>
      </w:r>
      <w:r>
        <w:rPr>
          <w:rFonts w:hint="eastAsia" w:ascii="仿宋" w:hAnsi="仿宋" w:eastAsia="仿宋" w:cs="仿宋"/>
          <w:color w:val="auto"/>
          <w:sz w:val="28"/>
          <w:highlight w:val="none"/>
          <w:lang w:eastAsia="zh-CN"/>
        </w:rPr>
        <w:t>，</w:t>
      </w:r>
      <w:r>
        <w:rPr>
          <w:rFonts w:hint="eastAsia" w:ascii="仿宋" w:hAnsi="仿宋" w:eastAsia="仿宋" w:cs="仿宋"/>
          <w:color w:val="auto"/>
          <w:sz w:val="28"/>
          <w:highlight w:val="none"/>
          <w:lang w:val="en-US" w:eastAsia="zh-CN"/>
        </w:rPr>
        <w:t>不得</w:t>
      </w:r>
      <w:r>
        <w:rPr>
          <w:rFonts w:hint="eastAsia" w:ascii="仿宋" w:hAnsi="仿宋" w:eastAsia="仿宋" w:cs="仿宋"/>
          <w:color w:val="auto"/>
          <w:sz w:val="28"/>
          <w:highlight w:val="none"/>
        </w:rPr>
        <w:t xml:space="preserve">在乙方报销任何应由甲方或个人支付的费用等。 </w:t>
      </w:r>
    </w:p>
    <w:p w14:paraId="3910ACEF">
      <w:pPr>
        <w:pStyle w:val="11"/>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2.甲方工作人员不得参加乙方安排的超标准宴请、娱乐活动和旅游考察，不得接受乙方提供的通讯工具、交通工具和高档办公用品等。</w:t>
      </w:r>
    </w:p>
    <w:p w14:paraId="225BE90D">
      <w:pPr>
        <w:pStyle w:val="11"/>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3.甲方工作人员不得要求或者接受乙方为其住房装修、婚丧嫁娶活动、配偶子女的工作安排以及出国、出境旅游等提供方便等。</w:t>
      </w:r>
    </w:p>
    <w:p w14:paraId="69F395FB">
      <w:pPr>
        <w:keepNext w:val="0"/>
        <w:keepLines w:val="0"/>
        <w:pageBreakBefore w:val="0"/>
        <w:widowControl w:val="0"/>
        <w:kinsoku/>
        <w:wordWrap/>
        <w:overflowPunct/>
        <w:topLinePunct w:val="0"/>
        <w:autoSpaceDE/>
        <w:autoSpaceDN/>
        <w:bidi w:val="0"/>
        <w:adjustRightInd/>
        <w:snapToGrid/>
        <w:spacing w:line="560" w:lineRule="exact"/>
        <w:ind w:firstLine="570"/>
        <w:textAlignment w:val="auto"/>
        <w:rPr>
          <w:rFonts w:hint="eastAsia" w:ascii="仿宋" w:hAnsi="仿宋" w:eastAsia="仿宋" w:cs="仿宋"/>
          <w:color w:val="auto"/>
          <w:sz w:val="28"/>
          <w:highlight w:val="none"/>
        </w:rPr>
      </w:pPr>
      <w:r>
        <w:rPr>
          <w:rFonts w:hint="eastAsia" w:ascii="仿宋" w:hAnsi="仿宋" w:eastAsia="仿宋" w:cs="仿宋"/>
          <w:color w:val="auto"/>
          <w:sz w:val="28"/>
          <w:highlight w:val="none"/>
        </w:rPr>
        <w:t>4.甲方工作人员不介绍自己的配偶、子女或其他特定关系人与乙方企业发生经济业务关系。</w:t>
      </w:r>
    </w:p>
    <w:p w14:paraId="691372F3">
      <w:pPr>
        <w:keepNext w:val="0"/>
        <w:keepLines w:val="0"/>
        <w:pageBreakBefore w:val="0"/>
        <w:widowControl w:val="0"/>
        <w:kinsoku/>
        <w:wordWrap/>
        <w:overflowPunct/>
        <w:topLinePunct w:val="0"/>
        <w:autoSpaceDE/>
        <w:autoSpaceDN/>
        <w:bidi w:val="0"/>
        <w:adjustRightInd/>
        <w:snapToGrid/>
        <w:spacing w:line="560" w:lineRule="exact"/>
        <w:ind w:firstLine="570"/>
        <w:textAlignment w:val="auto"/>
        <w:rPr>
          <w:rFonts w:hint="eastAsia" w:ascii="仿宋" w:hAnsi="仿宋" w:eastAsia="仿宋" w:cs="仿宋"/>
          <w:b/>
          <w:bCs/>
          <w:color w:val="auto"/>
          <w:sz w:val="28"/>
          <w:highlight w:val="none"/>
          <w:lang w:val="en-US" w:eastAsia="zh-CN"/>
        </w:rPr>
      </w:pPr>
      <w:r>
        <w:rPr>
          <w:rFonts w:hint="eastAsia" w:ascii="仿宋" w:hAnsi="仿宋" w:eastAsia="仿宋" w:cs="仿宋"/>
          <w:b/>
          <w:bCs/>
          <w:color w:val="auto"/>
          <w:sz w:val="28"/>
          <w:highlight w:val="none"/>
          <w:lang w:val="en-US" w:eastAsia="zh-CN"/>
        </w:rPr>
        <w:t xml:space="preserve">第三条  </w:t>
      </w:r>
      <w:r>
        <w:rPr>
          <w:rFonts w:hint="eastAsia" w:ascii="仿宋" w:hAnsi="仿宋" w:eastAsia="仿宋" w:cs="仿宋"/>
          <w:b/>
          <w:bCs/>
          <w:color w:val="auto"/>
          <w:sz w:val="28"/>
          <w:highlight w:val="none"/>
        </w:rPr>
        <w:t>乙方</w:t>
      </w:r>
      <w:r>
        <w:rPr>
          <w:rFonts w:hint="eastAsia" w:ascii="仿宋" w:hAnsi="仿宋" w:eastAsia="仿宋" w:cs="仿宋"/>
          <w:b/>
          <w:bCs/>
          <w:color w:val="auto"/>
          <w:sz w:val="28"/>
          <w:highlight w:val="none"/>
          <w:lang w:val="en-US" w:eastAsia="zh-CN"/>
        </w:rPr>
        <w:t>的义务</w:t>
      </w:r>
    </w:p>
    <w:p w14:paraId="089A0294">
      <w:pPr>
        <w:pStyle w:val="11"/>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1.乙方不得以任何理由向甲方工作人员行贿或馈赠土特产、礼品、礼金、有价证券、支付凭证、商业回扣等</w:t>
      </w:r>
      <w:r>
        <w:rPr>
          <w:rFonts w:hint="eastAsia" w:ascii="仿宋" w:hAnsi="仿宋" w:eastAsia="仿宋" w:cs="仿宋"/>
          <w:color w:val="auto"/>
          <w:sz w:val="28"/>
          <w:highlight w:val="none"/>
        </w:rPr>
        <w:t>一切物质性利益</w:t>
      </w:r>
      <w:r>
        <w:rPr>
          <w:rFonts w:hint="eastAsia" w:ascii="仿宋" w:hAnsi="仿宋" w:eastAsia="仿宋" w:cs="仿宋"/>
          <w:color w:val="auto"/>
          <w:sz w:val="28"/>
          <w:highlight w:val="none"/>
          <w:lang w:eastAsia="zh-CN"/>
        </w:rPr>
        <w:t>。</w:t>
      </w:r>
    </w:p>
    <w:p w14:paraId="4B8E5DBC">
      <w:pPr>
        <w:keepNext w:val="0"/>
        <w:keepLines w:val="0"/>
        <w:pageBreakBefore w:val="0"/>
        <w:widowControl w:val="0"/>
        <w:kinsoku/>
        <w:wordWrap/>
        <w:overflowPunct/>
        <w:topLinePunct w:val="0"/>
        <w:autoSpaceDE/>
        <w:autoSpaceDN/>
        <w:bidi w:val="0"/>
        <w:adjustRightInd/>
        <w:snapToGrid/>
        <w:spacing w:line="560" w:lineRule="exact"/>
        <w:ind w:firstLine="570"/>
        <w:textAlignment w:val="auto"/>
        <w:rPr>
          <w:rFonts w:hint="eastAsia" w:ascii="仿宋" w:hAnsi="仿宋" w:eastAsia="仿宋" w:cs="仿宋"/>
          <w:color w:val="auto"/>
          <w:sz w:val="28"/>
          <w:highlight w:val="none"/>
        </w:rPr>
      </w:pPr>
      <w:r>
        <w:rPr>
          <w:rFonts w:hint="eastAsia" w:ascii="仿宋" w:hAnsi="仿宋" w:eastAsia="仿宋" w:cs="仿宋"/>
          <w:color w:val="auto"/>
          <w:sz w:val="28"/>
          <w:highlight w:val="none"/>
        </w:rPr>
        <w:t>2.乙方不以任何理由安排甲方工作人员参加宴请、娱乐</w:t>
      </w:r>
      <w:r>
        <w:rPr>
          <w:rFonts w:hint="eastAsia" w:ascii="仿宋" w:hAnsi="仿宋" w:eastAsia="仿宋" w:cs="仿宋"/>
          <w:color w:val="auto"/>
          <w:sz w:val="28"/>
          <w:highlight w:val="none"/>
          <w:lang w:val="en-US" w:eastAsia="zh-CN"/>
        </w:rPr>
        <w:t>活动</w:t>
      </w:r>
      <w:r>
        <w:rPr>
          <w:rFonts w:hint="eastAsia" w:ascii="仿宋" w:hAnsi="仿宋" w:eastAsia="仿宋" w:cs="仿宋"/>
          <w:color w:val="auto"/>
          <w:sz w:val="28"/>
          <w:highlight w:val="none"/>
        </w:rPr>
        <w:t>、旅游考察等消费活动。</w:t>
      </w:r>
    </w:p>
    <w:p w14:paraId="77D9A5BC">
      <w:pPr>
        <w:keepNext w:val="0"/>
        <w:keepLines w:val="0"/>
        <w:pageBreakBefore w:val="0"/>
        <w:widowControl w:val="0"/>
        <w:kinsoku/>
        <w:wordWrap/>
        <w:overflowPunct/>
        <w:topLinePunct w:val="0"/>
        <w:autoSpaceDE/>
        <w:autoSpaceDN/>
        <w:bidi w:val="0"/>
        <w:adjustRightInd/>
        <w:snapToGrid/>
        <w:spacing w:line="560" w:lineRule="exact"/>
        <w:ind w:firstLine="570"/>
        <w:textAlignment w:val="auto"/>
        <w:rPr>
          <w:rFonts w:hint="eastAsia" w:ascii="仿宋" w:hAnsi="仿宋" w:eastAsia="仿宋" w:cs="仿宋"/>
          <w:color w:val="auto"/>
          <w:sz w:val="28"/>
          <w:highlight w:val="none"/>
        </w:rPr>
      </w:pPr>
      <w:r>
        <w:rPr>
          <w:rFonts w:hint="eastAsia" w:ascii="仿宋" w:hAnsi="仿宋" w:eastAsia="仿宋" w:cs="仿宋"/>
          <w:color w:val="auto"/>
          <w:sz w:val="28"/>
          <w:highlight w:val="none"/>
        </w:rPr>
        <w:t>3.乙方不以任何名义为甲方工作人员报销</w:t>
      </w:r>
      <w:r>
        <w:rPr>
          <w:rFonts w:hint="eastAsia" w:ascii="仿宋" w:hAnsi="仿宋" w:eastAsia="仿宋" w:cs="仿宋"/>
          <w:color w:val="auto"/>
          <w:sz w:val="28"/>
          <w:highlight w:val="none"/>
          <w:lang w:val="en-US" w:eastAsia="zh-CN"/>
        </w:rPr>
        <w:t>应</w:t>
      </w:r>
      <w:r>
        <w:rPr>
          <w:rFonts w:hint="eastAsia" w:ascii="仿宋" w:hAnsi="仿宋" w:eastAsia="仿宋" w:cs="仿宋"/>
          <w:color w:val="auto"/>
          <w:sz w:val="28"/>
          <w:highlight w:val="none"/>
        </w:rPr>
        <w:t>由甲方单位或个人承担的任何费用。</w:t>
      </w:r>
    </w:p>
    <w:p w14:paraId="4B928EC2">
      <w:pPr>
        <w:keepNext w:val="0"/>
        <w:keepLines w:val="0"/>
        <w:pageBreakBefore w:val="0"/>
        <w:widowControl w:val="0"/>
        <w:kinsoku/>
        <w:wordWrap/>
        <w:overflowPunct/>
        <w:topLinePunct w:val="0"/>
        <w:autoSpaceDE/>
        <w:autoSpaceDN/>
        <w:bidi w:val="0"/>
        <w:adjustRightInd/>
        <w:snapToGrid/>
        <w:spacing w:line="560" w:lineRule="exact"/>
        <w:ind w:firstLine="570"/>
        <w:textAlignment w:val="auto"/>
        <w:rPr>
          <w:rFonts w:hint="eastAsia" w:ascii="仿宋" w:hAnsi="仿宋" w:eastAsia="仿宋" w:cs="仿宋"/>
          <w:color w:val="auto"/>
          <w:sz w:val="28"/>
          <w:highlight w:val="none"/>
        </w:rPr>
      </w:pPr>
      <w:r>
        <w:rPr>
          <w:rFonts w:hint="eastAsia" w:ascii="仿宋" w:hAnsi="仿宋" w:eastAsia="仿宋" w:cs="仿宋"/>
          <w:color w:val="auto"/>
          <w:sz w:val="28"/>
          <w:highlight w:val="none"/>
        </w:rPr>
        <w:t>4.乙方不为甲方工作人员及其配偶、子女或其他特定关系人在本企业投资入股或赠送“干股”。</w:t>
      </w:r>
    </w:p>
    <w:p w14:paraId="68770A54">
      <w:pPr>
        <w:keepNext w:val="0"/>
        <w:keepLines w:val="0"/>
        <w:pageBreakBefore w:val="0"/>
        <w:widowControl w:val="0"/>
        <w:kinsoku/>
        <w:wordWrap/>
        <w:overflowPunct/>
        <w:topLinePunct w:val="0"/>
        <w:autoSpaceDE/>
        <w:autoSpaceDN/>
        <w:bidi w:val="0"/>
        <w:adjustRightInd/>
        <w:snapToGrid/>
        <w:spacing w:line="560" w:lineRule="exact"/>
        <w:ind w:firstLine="570"/>
        <w:textAlignment w:val="auto"/>
        <w:rPr>
          <w:rFonts w:hint="eastAsia" w:ascii="仿宋" w:hAnsi="仿宋" w:eastAsia="仿宋" w:cs="仿宋"/>
          <w:b/>
          <w:bCs/>
          <w:color w:val="auto"/>
          <w:sz w:val="28"/>
          <w:highlight w:val="none"/>
        </w:rPr>
      </w:pPr>
      <w:r>
        <w:rPr>
          <w:rFonts w:hint="eastAsia" w:ascii="仿宋" w:hAnsi="仿宋" w:eastAsia="仿宋" w:cs="仿宋"/>
          <w:b/>
          <w:bCs/>
          <w:color w:val="auto"/>
          <w:sz w:val="28"/>
          <w:highlight w:val="none"/>
          <w:lang w:val="en-US" w:eastAsia="zh-CN"/>
        </w:rPr>
        <w:t xml:space="preserve">第四条  </w:t>
      </w:r>
      <w:r>
        <w:rPr>
          <w:rFonts w:hint="eastAsia" w:ascii="仿宋" w:hAnsi="仿宋" w:eastAsia="仿宋" w:cs="仿宋"/>
          <w:b/>
          <w:bCs/>
          <w:color w:val="auto"/>
          <w:sz w:val="28"/>
          <w:highlight w:val="none"/>
        </w:rPr>
        <w:t>责任追究</w:t>
      </w:r>
    </w:p>
    <w:p w14:paraId="2A6130AD">
      <w:pPr>
        <w:pStyle w:val="8"/>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1.</w:t>
      </w:r>
      <w:r>
        <w:rPr>
          <w:rFonts w:hint="eastAsia" w:ascii="仿宋" w:hAnsi="仿宋" w:eastAsia="仿宋" w:cs="仿宋"/>
          <w:color w:val="auto"/>
          <w:sz w:val="28"/>
          <w:highlight w:val="none"/>
        </w:rPr>
        <w:t>甲方工作人员违反廉政合同的，按照干部管理权限，依据有关规定给予党纪、行政处分；涉嫌犯罪的，移送司法机关</w:t>
      </w:r>
      <w:r>
        <w:rPr>
          <w:rFonts w:hint="eastAsia" w:ascii="仿宋" w:hAnsi="仿宋" w:eastAsia="仿宋" w:cs="仿宋"/>
          <w:color w:val="auto"/>
          <w:kern w:val="2"/>
          <w:sz w:val="28"/>
          <w:szCs w:val="24"/>
          <w:highlight w:val="none"/>
          <w:lang w:val="en-US" w:eastAsia="zh-CN" w:bidi="ar-SA"/>
        </w:rPr>
        <w:t>。</w:t>
      </w:r>
    </w:p>
    <w:p w14:paraId="22D044AD">
      <w:pPr>
        <w:pStyle w:val="8"/>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2.乙方及其工作人员违反</w:t>
      </w:r>
      <w:r>
        <w:rPr>
          <w:rFonts w:hint="eastAsia" w:ascii="仿宋" w:hAnsi="仿宋" w:eastAsia="仿宋" w:cs="仿宋"/>
          <w:color w:val="auto"/>
          <w:sz w:val="28"/>
          <w:highlight w:val="none"/>
        </w:rPr>
        <w:t>廉政合同</w:t>
      </w:r>
      <w:r>
        <w:rPr>
          <w:rFonts w:hint="eastAsia" w:ascii="仿宋" w:hAnsi="仿宋" w:eastAsia="仿宋" w:cs="仿宋"/>
          <w:color w:val="auto"/>
          <w:kern w:val="2"/>
          <w:sz w:val="28"/>
          <w:szCs w:val="24"/>
          <w:highlight w:val="none"/>
          <w:lang w:val="en-US" w:eastAsia="zh-CN" w:bidi="ar-SA"/>
        </w:rPr>
        <w:t>造成经济损失的，应予以赔偿；甲方有权视其情节轻重决定暂时停止或长期中止与乙方所有经济业务合同。</w:t>
      </w:r>
    </w:p>
    <w:p w14:paraId="2690481F">
      <w:pPr>
        <w:pStyle w:val="8"/>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3.本合同作为附件，与</w:t>
      </w:r>
      <w:r>
        <w:rPr>
          <w:rFonts w:hint="eastAsia" w:ascii="仿宋" w:hAnsi="仿宋" w:eastAsia="仿宋" w:cs="仿宋"/>
          <w:b w:val="0"/>
          <w:bCs w:val="0"/>
          <w:color w:val="auto"/>
          <w:kern w:val="2"/>
          <w:sz w:val="28"/>
          <w:szCs w:val="22"/>
          <w:highlight w:val="none"/>
          <w:lang w:val="en-US" w:eastAsia="zh-CN" w:bidi="en-US"/>
        </w:rPr>
        <w:t>淮口服务区充（换）电站高压改迁工程</w:t>
      </w:r>
      <w:r>
        <w:rPr>
          <w:rFonts w:hint="eastAsia" w:ascii="仿宋" w:hAnsi="仿宋" w:eastAsia="仿宋" w:cs="仿宋"/>
          <w:b w:val="0"/>
          <w:color w:val="auto"/>
          <w:kern w:val="2"/>
          <w:sz w:val="28"/>
          <w:szCs w:val="22"/>
          <w:highlight w:val="none"/>
          <w:u w:val="none"/>
          <w:lang w:val="en-US" w:eastAsia="zh-CN"/>
        </w:rPr>
        <w:t>《</w:t>
      </w:r>
      <w:r>
        <w:rPr>
          <w:rFonts w:hint="eastAsia" w:ascii="仿宋" w:hAnsi="仿宋" w:eastAsia="仿宋" w:cs="仿宋"/>
          <w:b w:val="0"/>
          <w:bCs w:val="0"/>
          <w:color w:val="auto"/>
          <w:kern w:val="2"/>
          <w:sz w:val="28"/>
          <w:szCs w:val="22"/>
          <w:highlight w:val="none"/>
          <w:lang w:val="en-US" w:eastAsia="zh-CN" w:bidi="en-US"/>
        </w:rPr>
        <w:t>建设工程施工合同</w:t>
      </w:r>
      <w:r>
        <w:rPr>
          <w:rFonts w:hint="eastAsia" w:ascii="仿宋" w:hAnsi="仿宋" w:eastAsia="仿宋" w:cs="仿宋"/>
          <w:b w:val="0"/>
          <w:color w:val="auto"/>
          <w:kern w:val="2"/>
          <w:sz w:val="28"/>
          <w:szCs w:val="22"/>
          <w:highlight w:val="none"/>
          <w:u w:val="none"/>
          <w:lang w:eastAsia="zh-CN"/>
        </w:rPr>
        <w:t>》</w:t>
      </w:r>
      <w:r>
        <w:rPr>
          <w:rFonts w:hint="eastAsia" w:ascii="仿宋" w:hAnsi="仿宋" w:eastAsia="仿宋" w:cs="仿宋"/>
          <w:color w:val="auto"/>
          <w:kern w:val="2"/>
          <w:sz w:val="28"/>
          <w:szCs w:val="24"/>
          <w:highlight w:val="none"/>
          <w:lang w:val="en-US" w:eastAsia="zh-CN" w:bidi="ar-SA"/>
        </w:rPr>
        <w:t>（合同编号：     ）具有同等的法律效力，经合同双方签署立即生效。</w:t>
      </w:r>
    </w:p>
    <w:p w14:paraId="7B641E37">
      <w:pPr>
        <w:keepNext w:val="0"/>
        <w:keepLines w:val="0"/>
        <w:pageBreakBefore w:val="0"/>
        <w:widowControl w:val="0"/>
        <w:kinsoku/>
        <w:wordWrap/>
        <w:overflowPunct/>
        <w:topLinePunct w:val="0"/>
        <w:autoSpaceDE/>
        <w:autoSpaceDN/>
        <w:bidi w:val="0"/>
        <w:adjustRightInd/>
        <w:snapToGrid/>
        <w:spacing w:line="560" w:lineRule="exact"/>
        <w:ind w:firstLine="570"/>
        <w:textAlignment w:val="auto"/>
        <w:rPr>
          <w:rFonts w:ascii="仿宋" w:hAnsi="仿宋" w:eastAsia="仿宋" w:cs="仿宋"/>
          <w:color w:val="auto"/>
          <w:sz w:val="28"/>
          <w:highlight w:val="none"/>
        </w:rPr>
      </w:pPr>
      <w:r>
        <w:rPr>
          <w:rFonts w:hint="eastAsia" w:ascii="仿宋" w:hAnsi="仿宋" w:eastAsia="仿宋" w:cs="仿宋"/>
          <w:color w:val="auto"/>
          <w:kern w:val="2"/>
          <w:sz w:val="28"/>
          <w:szCs w:val="24"/>
          <w:highlight w:val="none"/>
          <w:lang w:val="en-US" w:eastAsia="zh-CN" w:bidi="ar-SA"/>
        </w:rPr>
        <w:t>4.本合同一式捌份，由甲方执肆份，乙方执肆份。</w:t>
      </w:r>
    </w:p>
    <w:p w14:paraId="1435A37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w:t>
      </w:r>
      <w:r>
        <w:rPr>
          <w:rFonts w:hint="eastAsia" w:ascii="仿宋" w:hAnsi="仿宋" w:eastAsia="仿宋" w:cs="Times New Roman"/>
          <w:color w:val="auto"/>
          <w:sz w:val="28"/>
          <w:szCs w:val="28"/>
          <w:highlight w:val="none"/>
          <w:lang w:val="en-US" w:eastAsia="zh-CN"/>
        </w:rPr>
        <w:t>以下无正文</w:t>
      </w:r>
      <w:r>
        <w:rPr>
          <w:rFonts w:hint="eastAsia" w:ascii="仿宋" w:hAnsi="仿宋" w:eastAsia="仿宋" w:cs="Times New Roman"/>
          <w:color w:val="auto"/>
          <w:sz w:val="28"/>
          <w:szCs w:val="28"/>
          <w:highlight w:val="none"/>
          <w:lang w:eastAsia="zh-CN"/>
        </w:rPr>
        <w:t>）</w:t>
      </w:r>
    </w:p>
    <w:p w14:paraId="539336C2">
      <w:pPr>
        <w:pStyle w:val="8"/>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kern w:val="2"/>
          <w:sz w:val="28"/>
          <w:szCs w:val="24"/>
          <w:highlight w:val="none"/>
          <w:lang w:val="en-US" w:eastAsia="zh-CN" w:bidi="ar-SA"/>
        </w:rPr>
      </w:pPr>
    </w:p>
    <w:tbl>
      <w:tblPr>
        <w:tblStyle w:val="16"/>
        <w:tblpPr w:leftFromText="180" w:rightFromText="180" w:vertAnchor="text" w:horzAnchor="page" w:tblpX="1845" w:tblpY="762"/>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28"/>
        <w:gridCol w:w="4428"/>
      </w:tblGrid>
      <w:tr w14:paraId="4C740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2" w:hRule="atLeast"/>
        </w:trPr>
        <w:tc>
          <w:tcPr>
            <w:tcW w:w="2500" w:type="pct"/>
            <w:noWrap w:val="0"/>
            <w:vAlign w:val="top"/>
          </w:tcPr>
          <w:p w14:paraId="4CED51FD">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lang w:eastAsia="zh-CN"/>
              </w:rPr>
            </w:pPr>
            <w:r>
              <w:rPr>
                <w:rFonts w:hint="eastAsia" w:ascii="仿宋" w:hAnsi="仿宋" w:eastAsia="仿宋" w:cs="仿宋"/>
                <w:color w:val="auto"/>
                <w:sz w:val="28"/>
                <w:szCs w:val="28"/>
                <w:highlight w:val="none"/>
                <w:lang w:val="en-US" w:eastAsia="zh-CN"/>
              </w:rPr>
              <w:t>甲方（盖章）</w:t>
            </w:r>
            <w:r>
              <w:rPr>
                <w:rFonts w:hint="eastAsia" w:ascii="仿宋" w:hAnsi="仿宋" w:eastAsia="仿宋" w:cs="仿宋"/>
                <w:color w:val="auto"/>
                <w:sz w:val="28"/>
                <w:szCs w:val="28"/>
                <w:highlight w:val="none"/>
              </w:rPr>
              <w:t>：四川蜀道新能源科技发展有限公司</w:t>
            </w:r>
          </w:p>
        </w:tc>
        <w:tc>
          <w:tcPr>
            <w:tcW w:w="2500" w:type="pct"/>
            <w:noWrap w:val="0"/>
            <w:vAlign w:val="top"/>
          </w:tcPr>
          <w:p w14:paraId="53DFDD60">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default"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lang w:val="en-US" w:eastAsia="zh-CN"/>
              </w:rPr>
              <w:t>乙方（盖章）</w:t>
            </w:r>
            <w:r>
              <w:rPr>
                <w:rFonts w:hint="eastAsia" w:ascii="仿宋" w:hAnsi="仿宋" w:eastAsia="仿宋" w:cs="仿宋"/>
                <w:color w:val="auto"/>
                <w:sz w:val="28"/>
                <w:szCs w:val="28"/>
                <w:highlight w:val="none"/>
              </w:rPr>
              <w:t>：</w:t>
            </w:r>
          </w:p>
        </w:tc>
      </w:tr>
      <w:tr w14:paraId="013DA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2500" w:type="pct"/>
            <w:noWrap w:val="0"/>
            <w:vAlign w:val="top"/>
          </w:tcPr>
          <w:p w14:paraId="7C8E0002">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rPr>
            </w:pPr>
          </w:p>
          <w:p w14:paraId="2B5BCDC3">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法定代表人</w:t>
            </w:r>
            <w:r>
              <w:rPr>
                <w:rFonts w:hint="eastAsia" w:ascii="仿宋" w:hAnsi="仿宋" w:eastAsia="仿宋" w:cs="仿宋"/>
                <w:color w:val="auto"/>
                <w:sz w:val="28"/>
                <w:szCs w:val="28"/>
                <w:highlight w:val="none"/>
                <w:lang w:eastAsia="zh-CN"/>
              </w:rPr>
              <w:t>：</w:t>
            </w:r>
          </w:p>
          <w:p w14:paraId="44FBA996">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rPr>
            </w:pPr>
            <w:r>
              <w:rPr>
                <w:rFonts w:hint="eastAsia" w:ascii="仿宋" w:hAnsi="仿宋" w:eastAsia="仿宋" w:cs="仿宋"/>
                <w:color w:val="auto"/>
                <w:sz w:val="28"/>
                <w:szCs w:val="28"/>
                <w:highlight w:val="none"/>
                <w:lang w:val="en-US" w:eastAsia="zh-CN"/>
              </w:rPr>
              <w:t>或</w:t>
            </w:r>
            <w:r>
              <w:rPr>
                <w:rFonts w:hint="eastAsia" w:ascii="仿宋" w:hAnsi="仿宋" w:eastAsia="仿宋" w:cs="仿宋"/>
                <w:color w:val="auto"/>
                <w:sz w:val="28"/>
                <w:szCs w:val="28"/>
                <w:highlight w:val="none"/>
              </w:rPr>
              <w:t>委托代理人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签字</w:t>
            </w:r>
            <w:r>
              <w:rPr>
                <w:rFonts w:hint="eastAsia" w:ascii="仿宋" w:hAnsi="仿宋" w:eastAsia="仿宋" w:cs="仿宋"/>
                <w:color w:val="auto"/>
                <w:sz w:val="28"/>
                <w:szCs w:val="28"/>
                <w:highlight w:val="none"/>
                <w:lang w:eastAsia="zh-CN"/>
              </w:rPr>
              <w:t>）：</w:t>
            </w:r>
          </w:p>
        </w:tc>
        <w:tc>
          <w:tcPr>
            <w:tcW w:w="2500" w:type="pct"/>
            <w:noWrap w:val="0"/>
            <w:vAlign w:val="top"/>
          </w:tcPr>
          <w:p w14:paraId="088493E8">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rPr>
            </w:pPr>
          </w:p>
          <w:p w14:paraId="76254EFE">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法定代表人</w:t>
            </w:r>
            <w:r>
              <w:rPr>
                <w:rFonts w:hint="eastAsia" w:ascii="仿宋" w:hAnsi="仿宋" w:eastAsia="仿宋" w:cs="仿宋"/>
                <w:color w:val="auto"/>
                <w:sz w:val="28"/>
                <w:szCs w:val="28"/>
                <w:highlight w:val="none"/>
                <w:lang w:eastAsia="zh-CN"/>
              </w:rPr>
              <w:t>：</w:t>
            </w:r>
          </w:p>
          <w:p w14:paraId="05448F14">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rPr>
            </w:pPr>
            <w:r>
              <w:rPr>
                <w:rFonts w:hint="eastAsia" w:ascii="仿宋" w:hAnsi="仿宋" w:eastAsia="仿宋" w:cs="仿宋"/>
                <w:color w:val="auto"/>
                <w:sz w:val="28"/>
                <w:szCs w:val="28"/>
                <w:highlight w:val="none"/>
                <w:lang w:val="en-US" w:eastAsia="zh-CN"/>
              </w:rPr>
              <w:t>或</w:t>
            </w:r>
            <w:r>
              <w:rPr>
                <w:rFonts w:hint="eastAsia" w:ascii="仿宋" w:hAnsi="仿宋" w:eastAsia="仿宋" w:cs="仿宋"/>
                <w:color w:val="auto"/>
                <w:sz w:val="28"/>
                <w:szCs w:val="28"/>
                <w:highlight w:val="none"/>
              </w:rPr>
              <w:t>委托代理人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签字</w:t>
            </w:r>
            <w:r>
              <w:rPr>
                <w:rFonts w:hint="eastAsia" w:ascii="仿宋" w:hAnsi="仿宋" w:eastAsia="仿宋" w:cs="仿宋"/>
                <w:color w:val="auto"/>
                <w:sz w:val="28"/>
                <w:szCs w:val="28"/>
                <w:highlight w:val="none"/>
                <w:lang w:eastAsia="zh-CN"/>
              </w:rPr>
              <w:t>）：</w:t>
            </w:r>
          </w:p>
        </w:tc>
      </w:tr>
      <w:tr w14:paraId="69CF9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5000" w:type="pct"/>
            <w:gridSpan w:val="2"/>
            <w:noWrap w:val="0"/>
            <w:vAlign w:val="top"/>
          </w:tcPr>
          <w:p w14:paraId="50485709">
            <w:pPr>
              <w:keepNext w:val="0"/>
              <w:keepLines w:val="0"/>
              <w:pageBreakBefore w:val="0"/>
              <w:widowControl w:val="0"/>
              <w:kinsoku/>
              <w:wordWrap/>
              <w:overflowPunct/>
              <w:topLinePunct w:val="0"/>
              <w:autoSpaceDE/>
              <w:autoSpaceDN/>
              <w:bidi w:val="0"/>
              <w:adjustRightInd w:val="0"/>
              <w:snapToGrid w:val="0"/>
              <w:spacing w:line="360" w:lineRule="auto"/>
              <w:ind w:right="0"/>
              <w:textAlignment w:val="auto"/>
              <w:rPr>
                <w:rFonts w:hint="eastAsia" w:ascii="仿宋" w:hAnsi="仿宋" w:eastAsia="仿宋" w:cs="仿宋"/>
                <w:color w:val="auto"/>
                <w:sz w:val="28"/>
                <w:szCs w:val="28"/>
                <w:highlight w:val="none"/>
                <w:vertAlign w:val="baseline"/>
              </w:rPr>
            </w:pPr>
            <w:r>
              <w:rPr>
                <w:rFonts w:hint="eastAsia" w:ascii="仿宋" w:hAnsi="仿宋" w:eastAsia="仿宋" w:cs="仿宋"/>
                <w:color w:val="auto"/>
                <w:sz w:val="28"/>
                <w:szCs w:val="28"/>
                <w:highlight w:val="none"/>
              </w:rPr>
              <w:t xml:space="preserve">签订日期：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日</w:t>
            </w:r>
          </w:p>
        </w:tc>
      </w:tr>
    </w:tbl>
    <w:p w14:paraId="6D6E5BF7">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jc w:val="left"/>
        <w:textAlignment w:val="auto"/>
        <w:rPr>
          <w:rFonts w:hint="eastAsia" w:ascii="仿宋" w:hAnsi="仿宋" w:eastAsia="仿宋" w:cs="Times New Roman"/>
          <w:color w:val="auto"/>
          <w:sz w:val="28"/>
          <w:szCs w:val="28"/>
          <w:highlight w:val="none"/>
        </w:rPr>
      </w:pPr>
    </w:p>
    <w:p w14:paraId="59ECCC2B">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jc w:val="left"/>
        <w:textAlignment w:val="auto"/>
        <w:rPr>
          <w:rFonts w:hint="eastAsia" w:ascii="仿宋" w:hAnsi="仿宋" w:eastAsia="仿宋" w:cs="Times New Roman"/>
          <w:color w:val="auto"/>
          <w:sz w:val="28"/>
          <w:szCs w:val="28"/>
          <w:highlight w:val="none"/>
        </w:rPr>
      </w:pPr>
    </w:p>
    <w:p w14:paraId="1600E799">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jc w:val="left"/>
        <w:textAlignment w:val="auto"/>
        <w:rPr>
          <w:rFonts w:hint="eastAsia" w:ascii="仿宋" w:hAnsi="仿宋" w:eastAsia="仿宋" w:cs="Times New Roman"/>
          <w:color w:val="auto"/>
          <w:sz w:val="28"/>
          <w:szCs w:val="28"/>
          <w:highlight w:val="none"/>
        </w:rPr>
      </w:pPr>
    </w:p>
    <w:p w14:paraId="0091FE71">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jc w:val="left"/>
        <w:textAlignment w:val="auto"/>
        <w:rPr>
          <w:rFonts w:hint="eastAsia" w:ascii="仿宋" w:hAnsi="仿宋" w:eastAsia="仿宋" w:cs="Times New Roman"/>
          <w:color w:val="auto"/>
          <w:sz w:val="28"/>
          <w:szCs w:val="28"/>
          <w:highlight w:val="none"/>
        </w:rPr>
      </w:pPr>
    </w:p>
    <w:p w14:paraId="274CD829">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jc w:val="left"/>
        <w:textAlignment w:val="auto"/>
        <w:rPr>
          <w:rFonts w:hint="eastAsia" w:ascii="仿宋" w:hAnsi="仿宋" w:eastAsia="仿宋" w:cs="Times New Roman"/>
          <w:color w:val="auto"/>
          <w:sz w:val="28"/>
          <w:szCs w:val="28"/>
          <w:highlight w:val="none"/>
        </w:rPr>
      </w:pPr>
    </w:p>
    <w:p w14:paraId="552A8C1D">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jc w:val="left"/>
        <w:textAlignment w:val="auto"/>
        <w:rPr>
          <w:rFonts w:hint="eastAsia" w:ascii="仿宋" w:hAnsi="仿宋" w:eastAsia="仿宋" w:cs="Times New Roman"/>
          <w:color w:val="auto"/>
          <w:sz w:val="28"/>
          <w:szCs w:val="28"/>
          <w:highlight w:val="none"/>
        </w:rPr>
      </w:pPr>
    </w:p>
    <w:p w14:paraId="65ED9652">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jc w:val="left"/>
        <w:textAlignment w:val="auto"/>
        <w:rPr>
          <w:rFonts w:hint="eastAsia" w:ascii="仿宋" w:hAnsi="仿宋" w:eastAsia="仿宋" w:cs="Times New Roman"/>
          <w:color w:val="auto"/>
          <w:sz w:val="28"/>
          <w:szCs w:val="28"/>
          <w:highlight w:val="none"/>
        </w:rPr>
      </w:pPr>
    </w:p>
    <w:p w14:paraId="5D776D47">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jc w:val="left"/>
        <w:textAlignment w:val="auto"/>
        <w:rPr>
          <w:rFonts w:hint="eastAsia" w:ascii="仿宋" w:hAnsi="仿宋" w:eastAsia="仿宋" w:cs="Times New Roman"/>
          <w:color w:val="auto"/>
          <w:sz w:val="28"/>
          <w:szCs w:val="28"/>
          <w:highlight w:val="none"/>
        </w:rPr>
      </w:pPr>
    </w:p>
    <w:p w14:paraId="5622E2F5">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jc w:val="left"/>
        <w:textAlignment w:val="auto"/>
        <w:rPr>
          <w:rFonts w:hint="eastAsia" w:ascii="仿宋" w:hAnsi="仿宋" w:eastAsia="仿宋" w:cs="Times New Roman"/>
          <w:color w:val="auto"/>
          <w:sz w:val="28"/>
          <w:szCs w:val="28"/>
          <w:highlight w:val="none"/>
        </w:rPr>
      </w:pPr>
    </w:p>
    <w:p w14:paraId="6AF22D81">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cs="宋体"/>
          <w:b/>
          <w:color w:val="auto"/>
          <w:sz w:val="24"/>
          <w:highlight w:val="none"/>
        </w:rPr>
      </w:pPr>
    </w:p>
    <w:p w14:paraId="73A4398C">
      <w:pPr>
        <w:rPr>
          <w:rFonts w:hint="eastAsia" w:ascii="宋体" w:hAnsi="宋体" w:cs="宋体"/>
          <w:b/>
          <w:color w:val="auto"/>
          <w:sz w:val="24"/>
          <w:highlight w:val="none"/>
        </w:rPr>
      </w:pPr>
      <w:r>
        <w:rPr>
          <w:rFonts w:hint="eastAsia" w:ascii="宋体" w:hAnsi="宋体" w:cs="宋体"/>
          <w:b/>
          <w:color w:val="auto"/>
          <w:sz w:val="24"/>
          <w:highlight w:val="none"/>
        </w:rPr>
        <w:br w:type="page"/>
      </w:r>
    </w:p>
    <w:p w14:paraId="311865E1">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color w:val="auto"/>
          <w:sz w:val="24"/>
          <w:highlight w:val="none"/>
          <w:lang w:eastAsia="zh-CN"/>
        </w:rPr>
      </w:pPr>
      <w:r>
        <w:rPr>
          <w:rFonts w:hint="eastAsia" w:ascii="宋体" w:hAnsi="宋体" w:cs="宋体"/>
          <w:b/>
          <w:color w:val="auto"/>
          <w:sz w:val="24"/>
          <w:highlight w:val="none"/>
        </w:rPr>
        <w:t>附件</w:t>
      </w:r>
      <w:r>
        <w:rPr>
          <w:rFonts w:hint="eastAsia" w:ascii="宋体" w:hAnsi="宋体" w:cs="宋体"/>
          <w:b/>
          <w:color w:val="auto"/>
          <w:sz w:val="24"/>
          <w:highlight w:val="none"/>
          <w:lang w:val="en-US" w:eastAsia="zh-CN"/>
        </w:rPr>
        <w:t>4</w:t>
      </w:r>
      <w:r>
        <w:rPr>
          <w:rFonts w:hint="eastAsia" w:ascii="宋体" w:hAnsi="宋体" w:cs="宋体"/>
          <w:b/>
          <w:color w:val="auto"/>
          <w:sz w:val="24"/>
          <w:highlight w:val="none"/>
        </w:rPr>
        <w:t xml:space="preserve">   履约保证金格式</w:t>
      </w:r>
      <w:r>
        <w:rPr>
          <w:rFonts w:hint="eastAsia" w:ascii="宋体" w:hAnsi="宋体" w:eastAsia="宋体" w:cs="宋体"/>
          <w:b/>
          <w:color w:val="auto"/>
          <w:sz w:val="24"/>
          <w:highlight w:val="none"/>
          <w:lang w:eastAsia="zh-CN"/>
        </w:rPr>
        <w:t>（</w:t>
      </w:r>
      <w:r>
        <w:rPr>
          <w:rFonts w:hint="eastAsia" w:ascii="宋体" w:hAnsi="宋体" w:eastAsia="宋体" w:cs="宋体"/>
          <w:b/>
          <w:color w:val="auto"/>
          <w:sz w:val="24"/>
          <w:highlight w:val="none"/>
        </w:rPr>
        <w:t>如采用银行保函</w:t>
      </w:r>
      <w:r>
        <w:rPr>
          <w:rFonts w:hint="eastAsia" w:ascii="宋体" w:hAnsi="宋体" w:eastAsia="宋体" w:cs="宋体"/>
          <w:b/>
          <w:color w:val="auto"/>
          <w:sz w:val="24"/>
          <w:highlight w:val="none"/>
          <w:lang w:eastAsia="zh-CN"/>
        </w:rPr>
        <w:t>）</w:t>
      </w:r>
    </w:p>
    <w:p w14:paraId="32161399">
      <w:pPr>
        <w:pStyle w:val="14"/>
        <w:ind w:left="0" w:leftChars="0" w:firstLine="0" w:firstLineChars="0"/>
        <w:rPr>
          <w:rFonts w:hint="eastAsia"/>
          <w:color w:val="auto"/>
          <w:highlight w:val="none"/>
        </w:rPr>
      </w:pPr>
      <w:r>
        <w:rPr>
          <w:rFonts w:hAnsi="宋体"/>
          <w:color w:val="auto"/>
          <w:sz w:val="24"/>
          <w:highlight w:val="none"/>
        </w:rPr>
        <w:t>格式如下：</w:t>
      </w:r>
    </w:p>
    <w:p w14:paraId="424DAD8B">
      <w:pPr>
        <w:spacing w:line="360" w:lineRule="auto"/>
        <w:jc w:val="center"/>
        <w:rPr>
          <w:rFonts w:hint="eastAsia" w:ascii="宋体" w:hAnsi="宋体" w:cs="宋体"/>
          <w:b/>
          <w:color w:val="auto"/>
          <w:sz w:val="30"/>
          <w:szCs w:val="30"/>
          <w:highlight w:val="none"/>
        </w:rPr>
      </w:pPr>
      <w:r>
        <w:rPr>
          <w:rFonts w:hint="eastAsia" w:ascii="宋体" w:hAnsi="宋体" w:cs="宋体"/>
          <w:b/>
          <w:color w:val="auto"/>
          <w:sz w:val="30"/>
          <w:szCs w:val="30"/>
          <w:highlight w:val="none"/>
        </w:rPr>
        <w:t>履约保证</w:t>
      </w:r>
      <w:r>
        <w:rPr>
          <w:rFonts w:hint="eastAsia" w:ascii="宋体" w:hAnsi="宋体" w:eastAsia="宋体" w:cs="宋体"/>
          <w:b/>
          <w:color w:val="auto"/>
          <w:sz w:val="30"/>
          <w:szCs w:val="30"/>
          <w:highlight w:val="none"/>
        </w:rPr>
        <w:t>金格式</w:t>
      </w:r>
    </w:p>
    <w:p w14:paraId="17E89278">
      <w:pPr>
        <w:rPr>
          <w:rFonts w:hint="eastAsia" w:ascii="宋体" w:hAnsi="宋体" w:cs="宋体"/>
          <w:color w:val="auto"/>
          <w:sz w:val="24"/>
          <w:highlight w:val="none"/>
        </w:rPr>
      </w:pPr>
    </w:p>
    <w:p w14:paraId="251856EA">
      <w:pPr>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（发包人名称）：</w:t>
      </w:r>
    </w:p>
    <w:p w14:paraId="45F2A7A2">
      <w:pPr>
        <w:rPr>
          <w:rFonts w:hint="eastAsia" w:ascii="宋体" w:hAnsi="宋体" w:cs="宋体"/>
          <w:color w:val="auto"/>
          <w:szCs w:val="21"/>
          <w:highlight w:val="none"/>
        </w:rPr>
      </w:pPr>
    </w:p>
    <w:p w14:paraId="4EB6DFA5">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鉴于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（发包人名称，以下简称“发包人”）接受</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（承包人名称）（以下称“承包人”）于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日参加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（项目名称）的</w:t>
      </w:r>
      <w:r>
        <w:rPr>
          <w:rFonts w:hint="eastAsia" w:ascii="宋体" w:hAnsi="宋体" w:cs="宋体"/>
          <w:color w:val="auto"/>
          <w:szCs w:val="21"/>
          <w:highlight w:val="none"/>
          <w:lang w:val="en-US" w:eastAsia="zh-CN"/>
        </w:rPr>
        <w:t>比选</w:t>
      </w:r>
      <w:r>
        <w:rPr>
          <w:rFonts w:hint="eastAsia" w:ascii="宋体" w:hAnsi="宋体" w:cs="宋体"/>
          <w:color w:val="auto"/>
          <w:szCs w:val="21"/>
          <w:highlight w:val="none"/>
        </w:rPr>
        <w:t>。我方愿意无条件地、不可撤销地就承包人履行与你方订立的合同，向你方提供担保。</w:t>
      </w:r>
    </w:p>
    <w:p w14:paraId="07CCFED7">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1.担保金额人民币（大写）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EE912C0">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2.担保有效期自发包人与承包人签订的合同生效之日起至承包人履行合同完毕之日止。</w:t>
      </w:r>
    </w:p>
    <w:p w14:paraId="7B0DAAC7">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3.在本担保有效期内，因承包人违反合同约定的义务给你方造成经济损失时，我方在收到你方以书面形式提出的在担保金额内的赔偿要求后，在7天内无条件支付，无须你方出具证明或陈述理由。</w:t>
      </w:r>
    </w:p>
    <w:p w14:paraId="098A06A8">
      <w:pPr>
        <w:spacing w:line="4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4.发包人和承包人按合同条款变更合同时，我方承担本担保规定的义务不变。</w:t>
      </w:r>
    </w:p>
    <w:p w14:paraId="4FFBC0C0">
      <w:pPr>
        <w:rPr>
          <w:rFonts w:hint="eastAsia" w:ascii="宋体" w:hAnsi="宋体" w:cs="宋体"/>
          <w:color w:val="auto"/>
          <w:szCs w:val="21"/>
          <w:highlight w:val="none"/>
        </w:rPr>
      </w:pPr>
    </w:p>
    <w:p w14:paraId="14259181">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担 保 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（盖单位章）</w:t>
      </w:r>
    </w:p>
    <w:p w14:paraId="74FA0F64">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法定代表人或负责人（或其委托代理人）：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（签字）</w:t>
      </w:r>
    </w:p>
    <w:p w14:paraId="220CD657">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地    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p>
    <w:p w14:paraId="38E10462">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邮政编码：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p>
    <w:p w14:paraId="3558FB7D">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电    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p>
    <w:p w14:paraId="779D3667">
      <w:pPr>
        <w:spacing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传    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p>
    <w:p w14:paraId="23C2017E">
      <w:pPr>
        <w:rPr>
          <w:rFonts w:hint="eastAsia" w:ascii="宋体" w:hAnsi="宋体" w:cs="宋体"/>
          <w:color w:val="auto"/>
          <w:szCs w:val="21"/>
          <w:highlight w:val="none"/>
        </w:rPr>
      </w:pPr>
    </w:p>
    <w:p w14:paraId="2B950F39">
      <w:pPr>
        <w:rPr>
          <w:rFonts w:hint="eastAsia" w:ascii="宋体" w:hAnsi="宋体" w:cs="宋体"/>
          <w:color w:val="auto"/>
          <w:szCs w:val="21"/>
          <w:highlight w:val="none"/>
        </w:rPr>
      </w:pPr>
    </w:p>
    <w:p w14:paraId="6D3A90EA">
      <w:pPr>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1215D237">
      <w:pPr>
        <w:rPr>
          <w:rFonts w:hint="eastAsia" w:ascii="宋体" w:hAnsi="宋体" w:cs="宋体"/>
          <w:color w:val="auto"/>
          <w:szCs w:val="21"/>
          <w:highlight w:val="none"/>
        </w:rPr>
      </w:pPr>
    </w:p>
    <w:p w14:paraId="5F0ABA8E">
      <w:pPr>
        <w:pStyle w:val="11"/>
        <w:adjustRightInd w:val="0"/>
        <w:snapToGrid w:val="0"/>
        <w:spacing w:line="360" w:lineRule="auto"/>
        <w:ind w:firstLine="420" w:firstLineChars="200"/>
        <w:rPr>
          <w:rFonts w:hint="eastAsia" w:hAnsi="宋体" w:cs="宋体"/>
          <w:highlight w:val="none"/>
        </w:rPr>
      </w:pPr>
      <w:r>
        <w:rPr>
          <w:rFonts w:hint="eastAsia" w:hAnsi="宋体" w:cs="宋体"/>
          <w:highlight w:val="none"/>
        </w:rPr>
        <w:t>注：</w:t>
      </w:r>
    </w:p>
    <w:p w14:paraId="12CFD40C">
      <w:pPr>
        <w:pStyle w:val="11"/>
        <w:adjustRightInd w:val="0"/>
        <w:snapToGrid w:val="0"/>
        <w:spacing w:line="360" w:lineRule="auto"/>
        <w:ind w:firstLine="420" w:firstLineChars="200"/>
        <w:rPr>
          <w:rFonts w:hint="eastAsia" w:ascii="宋体" w:hAnsi="宋体" w:eastAsia="宋体" w:cs="宋体"/>
          <w:highlight w:val="none"/>
        </w:rPr>
      </w:pPr>
      <w:r>
        <w:rPr>
          <w:rFonts w:hint="eastAsia" w:hAnsi="宋体" w:cs="宋体"/>
          <w:bCs/>
          <w:highlight w:val="none"/>
        </w:rPr>
        <w:t>1</w:t>
      </w:r>
      <w:r>
        <w:rPr>
          <w:rFonts w:hint="eastAsia" w:hAnsi="宋体" w:cs="宋体"/>
          <w:b/>
          <w:highlight w:val="none"/>
        </w:rPr>
        <w:t>．</w:t>
      </w:r>
      <w:r>
        <w:rPr>
          <w:rFonts w:hint="eastAsia" w:hAnsi="宋体" w:cs="宋体"/>
          <w:highlight w:val="none"/>
        </w:rPr>
        <w:t>银行保函须</w:t>
      </w:r>
      <w:r>
        <w:rPr>
          <w:rFonts w:hint="eastAsia" w:ascii="宋体" w:hAnsi="宋体" w:eastAsia="宋体" w:cs="宋体"/>
          <w:highlight w:val="none"/>
          <w:lang w:val="en-US" w:eastAsia="zh-CN"/>
        </w:rPr>
        <w:t>由</w:t>
      </w:r>
      <w:r>
        <w:rPr>
          <w:rFonts w:hint="eastAsia" w:ascii="宋体" w:hAnsi="宋体" w:eastAsia="宋体" w:cs="宋体"/>
          <w:szCs w:val="21"/>
          <w:highlight w:val="none"/>
        </w:rPr>
        <w:t>具有国有背景的银行开具</w:t>
      </w:r>
      <w:r>
        <w:rPr>
          <w:rFonts w:hint="eastAsia" w:ascii="宋体" w:hAnsi="宋体" w:eastAsia="宋体" w:cs="宋体"/>
          <w:szCs w:val="21"/>
          <w:highlight w:val="none"/>
          <w:lang w:eastAsia="zh-CN"/>
        </w:rPr>
        <w:t>。</w:t>
      </w:r>
    </w:p>
    <w:p w14:paraId="1A901E7A">
      <w:pPr>
        <w:pStyle w:val="11"/>
        <w:keepNext w:val="0"/>
        <w:keepLines w:val="0"/>
        <w:adjustRightInd w:val="0"/>
        <w:snapToGrid w:val="0"/>
        <w:spacing w:line="360" w:lineRule="auto"/>
        <w:ind w:firstLine="420" w:firstLineChars="200"/>
        <w:jc w:val="left"/>
        <w:textAlignment w:val="auto"/>
        <w:rPr>
          <w:rFonts w:hint="eastAsia" w:hAnsi="宋体" w:cs="宋体"/>
          <w:highlight w:val="none"/>
        </w:rPr>
      </w:pPr>
      <w:r>
        <w:rPr>
          <w:rFonts w:hint="eastAsia" w:hAnsi="宋体" w:cs="宋体"/>
          <w:highlight w:val="none"/>
          <w:lang w:val="en-US" w:eastAsia="zh-CN"/>
        </w:rPr>
        <w:t>2</w:t>
      </w:r>
      <w:r>
        <w:rPr>
          <w:rFonts w:hint="eastAsia" w:hAnsi="宋体" w:cs="宋体"/>
          <w:highlight w:val="none"/>
        </w:rPr>
        <w:t>．若采用银行自有格式，其提交的银行保函内容不得作出降低担保效力的实质性修改，包括但不限于对担保金额、担保范围、担保期限、担保内容作出实质性修改。</w:t>
      </w:r>
    </w:p>
    <w:p w14:paraId="7B4EFCC4">
      <w:r>
        <w:rPr>
          <w:rFonts w:hint="eastAsia" w:hAnsi="宋体" w:cs="宋体"/>
          <w:highlight w:val="none"/>
          <w:lang w:val="en-US" w:eastAsia="zh-CN"/>
        </w:rPr>
        <w:t>3</w:t>
      </w:r>
      <w:r>
        <w:rPr>
          <w:rFonts w:hint="eastAsia" w:hAnsi="宋体" w:cs="宋体"/>
          <w:highlight w:val="none"/>
        </w:rPr>
        <w:t>．银行保函中</w:t>
      </w:r>
      <w:r>
        <w:rPr>
          <w:rFonts w:hint="eastAsia" w:ascii="宋体" w:hAnsi="宋体" w:cs="宋体"/>
          <w:color w:val="auto"/>
          <w:sz w:val="21"/>
          <w:szCs w:val="21"/>
          <w:highlight w:val="none"/>
          <w:lang w:val="en-US" w:eastAsia="zh-CN"/>
        </w:rPr>
        <w:t>比选申请</w:t>
      </w:r>
      <w:r>
        <w:rPr>
          <w:rFonts w:hint="eastAsia" w:hAnsi="宋体" w:cs="宋体"/>
          <w:highlight w:val="none"/>
        </w:rPr>
        <w:t>有效期若为具体的日期，应不短于</w:t>
      </w:r>
      <w:r>
        <w:rPr>
          <w:rFonts w:hint="eastAsia" w:ascii="宋体" w:hAnsi="宋体" w:cs="宋体"/>
          <w:sz w:val="21"/>
          <w:szCs w:val="21"/>
          <w:highlight w:val="none"/>
          <w:lang w:val="en-US" w:eastAsia="zh-CN"/>
        </w:rPr>
        <w:t>比选申请</w:t>
      </w:r>
      <w:r>
        <w:rPr>
          <w:rFonts w:hint="eastAsia" w:hAnsi="宋体" w:cs="宋体"/>
          <w:highlight w:val="none"/>
        </w:rPr>
        <w:t>有效期。</w:t>
      </w:r>
    </w:p>
    <w:p w14:paraId="1B8C98C9">
      <w:pPr>
        <w:jc w:val="center"/>
      </w:pPr>
    </w:p>
    <w:p w14:paraId="739241AE">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560" w:lineRule="exact"/>
        <w:jc w:val="left"/>
        <w:textAlignment w:val="auto"/>
        <w:rPr>
          <w:rFonts w:hint="eastAsia" w:ascii="Times New Roman" w:hAnsi="Times New Roman" w:eastAsia="宋体" w:cs="Times New Roman"/>
          <w:b/>
          <w:bCs/>
          <w:color w:val="000000"/>
          <w:kern w:val="44"/>
          <w:sz w:val="32"/>
          <w:szCs w:val="32"/>
          <w:highlight w:val="none"/>
        </w:rPr>
      </w:pPr>
      <w:r>
        <w:rPr>
          <w:rFonts w:hint="eastAsia" w:ascii="Times New Roman" w:hAnsi="Times New Roman" w:eastAsia="宋体" w:cs="Times New Roman"/>
          <w:b/>
          <w:bCs/>
          <w:color w:val="000000"/>
          <w:kern w:val="44"/>
          <w:sz w:val="32"/>
          <w:szCs w:val="32"/>
          <w:highlight w:val="none"/>
        </w:rPr>
        <w:br w:type="page"/>
      </w:r>
    </w:p>
    <w:p w14:paraId="38254935">
      <w:pPr>
        <w:pStyle w:val="2"/>
        <w:keepNext/>
        <w:keepLines/>
        <w:pageBreakBefore w:val="0"/>
        <w:widowControl w:val="0"/>
        <w:kinsoku/>
        <w:wordWrap/>
        <w:overflowPunct/>
        <w:topLinePunct w:val="0"/>
        <w:autoSpaceDE/>
        <w:autoSpaceDN/>
        <w:bidi w:val="0"/>
        <w:adjustRightInd w:val="0"/>
        <w:snapToGrid w:val="0"/>
        <w:spacing w:before="0" w:after="0" w:line="579" w:lineRule="exact"/>
        <w:ind w:left="0" w:firstLine="1285" w:firstLineChars="400"/>
        <w:jc w:val="center"/>
        <w:textAlignment w:val="baseline"/>
        <w:rPr>
          <w:rFonts w:hint="default" w:ascii="Times New Roman" w:hAnsi="Times New Roman" w:eastAsia="宋体" w:cs="Times New Roman"/>
          <w:b/>
          <w:bCs/>
          <w:color w:val="000000"/>
          <w:kern w:val="44"/>
          <w:sz w:val="32"/>
          <w:szCs w:val="44"/>
          <w:highlight w:val="none"/>
          <w:lang w:eastAsia="zh-CN"/>
        </w:rPr>
      </w:pPr>
      <w:bookmarkStart w:id="29" w:name="_Toc30441"/>
      <w:r>
        <w:rPr>
          <w:rFonts w:hint="default" w:eastAsia="宋体" w:cs="Times New Roman"/>
          <w:b/>
          <w:bCs/>
          <w:color w:val="000000"/>
          <w:kern w:val="44"/>
          <w:sz w:val="32"/>
          <w:szCs w:val="44"/>
          <w:highlight w:val="none"/>
          <w:lang w:val="en-US" w:eastAsia="zh-CN"/>
        </w:rPr>
        <w:t xml:space="preserve">第五章 </w:t>
      </w:r>
      <w:r>
        <w:rPr>
          <w:rFonts w:hint="default" w:ascii="Times New Roman" w:hAnsi="Times New Roman" w:eastAsia="宋体" w:cs="Times New Roman"/>
          <w:b/>
          <w:bCs/>
          <w:color w:val="000000"/>
          <w:kern w:val="44"/>
          <w:sz w:val="32"/>
          <w:szCs w:val="44"/>
          <w:highlight w:val="none"/>
        </w:rPr>
        <w:t xml:space="preserve"> </w:t>
      </w:r>
      <w:r>
        <w:rPr>
          <w:rFonts w:hint="default" w:ascii="Times New Roman" w:hAnsi="Times New Roman" w:eastAsia="宋体" w:cs="Times New Roman"/>
          <w:b/>
          <w:bCs/>
          <w:color w:val="000000"/>
          <w:kern w:val="44"/>
          <w:sz w:val="32"/>
          <w:szCs w:val="44"/>
          <w:highlight w:val="none"/>
          <w:lang w:eastAsia="zh-CN"/>
        </w:rPr>
        <w:t>招标控制价</w:t>
      </w:r>
      <w:r>
        <w:rPr>
          <w:rFonts w:hint="default" w:ascii="Times New Roman" w:hAnsi="Times New Roman" w:eastAsia="宋体" w:cs="Times New Roman"/>
          <w:b/>
          <w:bCs/>
          <w:color w:val="000000"/>
          <w:kern w:val="44"/>
          <w:sz w:val="32"/>
          <w:szCs w:val="44"/>
          <w:highlight w:val="none"/>
        </w:rPr>
        <w:t>清单及图纸</w:t>
      </w:r>
      <w:r>
        <w:rPr>
          <w:rFonts w:hint="default" w:ascii="Times New Roman" w:hAnsi="Times New Roman" w:eastAsia="宋体" w:cs="Times New Roman"/>
          <w:b/>
          <w:bCs/>
          <w:color w:val="000000"/>
          <w:kern w:val="44"/>
          <w:sz w:val="32"/>
          <w:szCs w:val="44"/>
          <w:highlight w:val="none"/>
          <w:lang w:eastAsia="zh-CN"/>
        </w:rPr>
        <w:t>（</w:t>
      </w:r>
      <w:r>
        <w:rPr>
          <w:rFonts w:hint="default" w:ascii="Times New Roman" w:hAnsi="Times New Roman" w:eastAsia="宋体" w:cs="Times New Roman"/>
          <w:b/>
          <w:bCs/>
          <w:color w:val="000000"/>
          <w:kern w:val="44"/>
          <w:sz w:val="32"/>
          <w:szCs w:val="44"/>
          <w:highlight w:val="none"/>
          <w:lang w:val="en-US" w:eastAsia="zh-CN"/>
        </w:rPr>
        <w:t>另册</w:t>
      </w:r>
      <w:r>
        <w:rPr>
          <w:rFonts w:hint="default" w:ascii="Times New Roman" w:hAnsi="Times New Roman" w:eastAsia="宋体" w:cs="Times New Roman"/>
          <w:b/>
          <w:bCs/>
          <w:color w:val="000000"/>
          <w:kern w:val="44"/>
          <w:sz w:val="32"/>
          <w:szCs w:val="44"/>
          <w:highlight w:val="none"/>
          <w:lang w:eastAsia="zh-CN"/>
        </w:rPr>
        <w:t>）</w:t>
      </w:r>
      <w:bookmarkEnd w:id="29"/>
    </w:p>
    <w:p w14:paraId="27E0FE34">
      <w:pPr>
        <w:jc w:val="center"/>
        <w:rPr>
          <w:rFonts w:hint="eastAsia" w:ascii="宋体" w:hAnsi="宋体" w:eastAsia="宋体"/>
          <w:color w:val="auto"/>
          <w:sz w:val="32"/>
          <w:szCs w:val="32"/>
          <w:highlight w:val="none"/>
        </w:rPr>
      </w:pPr>
      <w:r>
        <w:rPr>
          <w:rFonts w:hint="eastAsia" w:ascii="宋体" w:hAnsi="宋体" w:eastAsia="宋体"/>
          <w:color w:val="auto"/>
          <w:sz w:val="32"/>
          <w:szCs w:val="32"/>
          <w:highlight w:val="none"/>
        </w:rPr>
        <w:t>（</w:t>
      </w:r>
      <w:r>
        <w:rPr>
          <w:rFonts w:hint="eastAsia" w:hAnsi="宋体" w:cs="宋体"/>
          <w:color w:val="auto"/>
          <w:kern w:val="0"/>
          <w:sz w:val="24"/>
          <w:szCs w:val="24"/>
          <w:highlight w:val="none"/>
          <w:lang w:val="en-US" w:eastAsia="zh-CN"/>
        </w:rPr>
        <w:t>本项目提供招标控制价（即施工图预算审核价）及图纸</w:t>
      </w:r>
      <w:r>
        <w:rPr>
          <w:rFonts w:hint="eastAsia" w:ascii="宋体" w:hAnsi="宋体" w:eastAsia="宋体"/>
          <w:color w:val="auto"/>
          <w:sz w:val="32"/>
          <w:szCs w:val="32"/>
          <w:highlight w:val="none"/>
        </w:rPr>
        <w:t>）</w:t>
      </w:r>
    </w:p>
    <w:p w14:paraId="0C49905E">
      <w:pPr>
        <w:pStyle w:val="11"/>
        <w:keepNext/>
        <w:keepLines/>
        <w:pageBreakBefore w:val="0"/>
        <w:widowControl w:val="0"/>
        <w:numPr>
          <w:ilvl w:val="-1"/>
          <w:numId w:val="0"/>
        </w:numPr>
        <w:kinsoku/>
        <w:wordWrap/>
        <w:overflowPunct/>
        <w:topLinePunct w:val="0"/>
        <w:autoSpaceDE/>
        <w:autoSpaceDN/>
        <w:bidi w:val="0"/>
        <w:adjustRightInd w:val="0"/>
        <w:snapToGrid w:val="0"/>
        <w:spacing w:before="0" w:after="0" w:line="360" w:lineRule="auto"/>
        <w:ind w:left="0" w:firstLine="0" w:firstLineChars="0"/>
        <w:jc w:val="both"/>
        <w:textAlignment w:val="baseline"/>
        <w:rPr>
          <w:rFonts w:hint="eastAsia" w:ascii="Times New Roman" w:hAnsi="Times New Roman" w:eastAsia="宋体" w:cs="Times New Roman"/>
          <w:b/>
          <w:bCs/>
          <w:color w:val="000000"/>
          <w:kern w:val="44"/>
          <w:sz w:val="32"/>
          <w:szCs w:val="32"/>
          <w:highlight w:val="none"/>
          <w:lang w:val="en-US" w:eastAsia="zh-CN"/>
        </w:rPr>
      </w:pPr>
    </w:p>
    <w:p w14:paraId="5E06FDA1">
      <w:pPr>
        <w:pStyle w:val="2"/>
        <w:jc w:val="center"/>
        <w:rPr>
          <w:rFonts w:ascii="Times New Roman" w:hAnsi="Times New Roman" w:cs="Times New Roman"/>
          <w:color w:val="000000"/>
          <w:kern w:val="0"/>
          <w:sz w:val="28"/>
          <w:szCs w:val="28"/>
          <w:highlight w:val="none"/>
        </w:rPr>
      </w:pPr>
      <w:r>
        <w:rPr>
          <w:rFonts w:ascii="Times New Roman" w:hAnsi="Times New Roman" w:cs="Times New Roman"/>
          <w:color w:val="000000"/>
          <w:highlight w:val="none"/>
        </w:rPr>
        <w:br w:type="page"/>
      </w:r>
      <w:r>
        <w:rPr>
          <w:rFonts w:hint="default" w:ascii="Times New Roman" w:hAnsi="Times New Roman" w:cs="Times New Roman"/>
          <w:color w:val="000000"/>
          <w:highlight w:val="none"/>
        </w:rPr>
        <w:t xml:space="preserve">    </w:t>
      </w:r>
      <w:bookmarkStart w:id="30" w:name="_Toc25612"/>
      <w:r>
        <w:rPr>
          <w:rFonts w:ascii="Times New Roman" w:hAnsi="Times New Roman" w:cs="Times New Roman"/>
          <w:b/>
          <w:bCs/>
          <w:color w:val="000000"/>
          <w:kern w:val="44"/>
          <w:sz w:val="32"/>
          <w:szCs w:val="44"/>
          <w:highlight w:val="none"/>
        </w:rPr>
        <w:t xml:space="preserve">第六章  </w:t>
      </w:r>
      <w:r>
        <w:rPr>
          <w:rFonts w:hint="default"/>
          <w:color w:val="000000"/>
          <w:szCs w:val="44"/>
          <w:highlight w:val="none"/>
        </w:rPr>
        <w:t>比选申请文件</w:t>
      </w:r>
      <w:r>
        <w:rPr>
          <w:color w:val="000000"/>
          <w:szCs w:val="44"/>
          <w:highlight w:val="none"/>
        </w:rPr>
        <w:t>格式</w:t>
      </w:r>
      <w:r>
        <w:rPr>
          <w:rFonts w:ascii="Times New Roman" w:hAnsi="Times New Roman" w:cs="Times New Roman"/>
          <w:color w:val="000000"/>
          <w:sz w:val="24"/>
          <w:highlight w:val="none"/>
        </w:rPr>
        <w:br w:type="page"/>
      </w:r>
      <w:r>
        <w:rPr>
          <w:rFonts w:hint="default" w:ascii="Times New Roman" w:hAnsi="Times New Roman" w:cs="Times New Roman"/>
          <w:color w:val="auto"/>
          <w:kern w:val="44"/>
          <w:sz w:val="28"/>
          <w:szCs w:val="28"/>
          <w:highlight w:val="none"/>
        </w:rPr>
        <w:t>比选申请文件</w:t>
      </w:r>
      <w:r>
        <w:rPr>
          <w:rFonts w:ascii="Times New Roman" w:hAnsi="Times New Roman" w:cs="Times New Roman"/>
          <w:color w:val="auto"/>
          <w:kern w:val="44"/>
          <w:sz w:val="28"/>
          <w:szCs w:val="28"/>
          <w:highlight w:val="none"/>
        </w:rPr>
        <w:t>封面格式</w:t>
      </w:r>
      <w:bookmarkEnd w:id="30"/>
    </w:p>
    <w:p w14:paraId="0B247459">
      <w:pPr>
        <w:spacing w:line="360" w:lineRule="auto"/>
        <w:ind w:left="359" w:leftChars="171" w:firstLine="560"/>
        <w:jc w:val="right"/>
        <w:rPr>
          <w:rFonts w:ascii="Times New Roman" w:hAnsi="Times New Roman" w:cs="Times New Roman"/>
          <w:color w:val="000000"/>
          <w:kern w:val="0"/>
          <w:sz w:val="28"/>
          <w:szCs w:val="28"/>
          <w:highlight w:val="none"/>
        </w:rPr>
      </w:pPr>
    </w:p>
    <w:p w14:paraId="607F1604">
      <w:pPr>
        <w:spacing w:line="360" w:lineRule="auto"/>
        <w:jc w:val="center"/>
        <w:rPr>
          <w:rFonts w:ascii="Times New Roman" w:hAnsi="Times New Roman" w:cs="Times New Roman"/>
          <w:b/>
          <w:color w:val="000000"/>
          <w:sz w:val="44"/>
          <w:szCs w:val="44"/>
          <w:highlight w:val="none"/>
        </w:rPr>
      </w:pPr>
      <w:r>
        <w:rPr>
          <w:rFonts w:ascii="Times New Roman" w:hAnsi="Times New Roman" w:cs="Times New Roman"/>
          <w:b/>
          <w:color w:val="000000"/>
          <w:sz w:val="44"/>
          <w:szCs w:val="44"/>
          <w:highlight w:val="none"/>
        </w:rPr>
        <w:t>四川蜀道新能源科技发展有限公司</w:t>
      </w:r>
    </w:p>
    <w:p w14:paraId="3A996D38">
      <w:pPr>
        <w:spacing w:line="360" w:lineRule="auto"/>
        <w:ind w:firstLine="0" w:firstLineChars="0"/>
        <w:jc w:val="center"/>
        <w:rPr>
          <w:rFonts w:hint="default" w:ascii="Times New Roman" w:hAnsi="Times New Roman" w:eastAsia="宋体" w:cs="Times New Roman"/>
          <w:b/>
          <w:bCs w:val="0"/>
          <w:color w:val="000000"/>
          <w:kern w:val="2"/>
          <w:sz w:val="44"/>
          <w:szCs w:val="44"/>
          <w:highlight w:val="none"/>
          <w:lang w:val="en-US" w:eastAsia="zh-CN" w:bidi="ar-SA"/>
        </w:rPr>
      </w:pPr>
      <w:r>
        <w:rPr>
          <w:rFonts w:hint="eastAsia" w:ascii="Times New Roman" w:hAnsi="Times New Roman" w:cs="Times New Roman"/>
          <w:b/>
          <w:bCs w:val="0"/>
          <w:color w:val="000000"/>
          <w:kern w:val="2"/>
          <w:sz w:val="44"/>
          <w:szCs w:val="44"/>
          <w:highlight w:val="none"/>
          <w:lang w:val="en-US" w:eastAsia="zh-CN" w:bidi="ar-SA"/>
        </w:rPr>
        <w:t>淮口服务区充（换）电站高压改迁工程</w:t>
      </w:r>
    </w:p>
    <w:p w14:paraId="0813B350">
      <w:pPr>
        <w:autoSpaceDE w:val="0"/>
        <w:autoSpaceDN w:val="0"/>
        <w:adjustRightInd w:val="0"/>
        <w:spacing w:line="360" w:lineRule="auto"/>
        <w:ind w:left="0" w:leftChars="0" w:firstLine="0"/>
        <w:jc w:val="both"/>
        <w:rPr>
          <w:rFonts w:ascii="Times New Roman" w:hAnsi="Times New Roman" w:cs="Times New Roman"/>
          <w:b/>
          <w:color w:val="000000"/>
          <w:w w:val="99"/>
          <w:kern w:val="0"/>
          <w:sz w:val="36"/>
          <w:szCs w:val="36"/>
          <w:highlight w:val="none"/>
        </w:rPr>
      </w:pPr>
    </w:p>
    <w:p w14:paraId="7118366D">
      <w:pPr>
        <w:autoSpaceDE w:val="0"/>
        <w:autoSpaceDN w:val="0"/>
        <w:adjustRightInd w:val="0"/>
        <w:spacing w:line="360" w:lineRule="auto"/>
        <w:ind w:left="359" w:leftChars="171" w:firstLine="883"/>
        <w:jc w:val="left"/>
        <w:rPr>
          <w:rFonts w:ascii="Times New Roman" w:hAnsi="Times New Roman" w:cs="Times New Roman"/>
          <w:b/>
          <w:color w:val="000000"/>
          <w:kern w:val="0"/>
          <w:sz w:val="44"/>
          <w:szCs w:val="44"/>
          <w:highlight w:val="none"/>
        </w:rPr>
      </w:pPr>
    </w:p>
    <w:p w14:paraId="7B5A7FBC">
      <w:pPr>
        <w:pStyle w:val="8"/>
        <w:rPr>
          <w:highlight w:val="none"/>
        </w:rPr>
      </w:pPr>
    </w:p>
    <w:p w14:paraId="49D2321A">
      <w:pPr>
        <w:autoSpaceDE/>
        <w:autoSpaceDN/>
        <w:adjustRightInd/>
        <w:spacing w:line="240" w:lineRule="auto"/>
        <w:ind w:left="0" w:leftChars="0" w:right="0"/>
        <w:jc w:val="center"/>
        <w:outlineLvl w:val="9"/>
        <w:rPr>
          <w:b/>
          <w:bCs/>
          <w:sz w:val="72"/>
          <w:szCs w:val="72"/>
        </w:rPr>
      </w:pPr>
      <w:bookmarkStart w:id="31" w:name="_Toc30400"/>
      <w:r>
        <w:rPr>
          <w:rFonts w:hint="eastAsia"/>
          <w:b/>
          <w:bCs/>
          <w:sz w:val="72"/>
          <w:szCs w:val="72"/>
        </w:rPr>
        <w:t>比选申请文件</w:t>
      </w:r>
      <w:bookmarkEnd w:id="31"/>
    </w:p>
    <w:p w14:paraId="087C8676">
      <w:pPr>
        <w:autoSpaceDE/>
        <w:autoSpaceDN/>
        <w:adjustRightInd/>
        <w:spacing w:line="240" w:lineRule="auto"/>
        <w:ind w:right="0"/>
        <w:jc w:val="center"/>
        <w:outlineLvl w:val="9"/>
        <w:rPr>
          <w:b/>
          <w:bCs/>
          <w:sz w:val="44"/>
          <w:szCs w:val="44"/>
        </w:rPr>
      </w:pPr>
      <w:bookmarkStart w:id="32" w:name="_Toc25020"/>
      <w:r>
        <w:rPr>
          <w:b/>
          <w:bCs/>
          <w:sz w:val="44"/>
          <w:szCs w:val="44"/>
        </w:rPr>
        <w:t>（第  册，共  册）</w:t>
      </w:r>
      <w:bookmarkEnd w:id="32"/>
    </w:p>
    <w:p w14:paraId="6141CD95">
      <w:pPr>
        <w:autoSpaceDE w:val="0"/>
        <w:autoSpaceDN w:val="0"/>
        <w:adjustRightInd w:val="0"/>
        <w:spacing w:line="360" w:lineRule="auto"/>
        <w:ind w:left="359" w:leftChars="171" w:firstLine="643"/>
        <w:jc w:val="left"/>
        <w:rPr>
          <w:rFonts w:ascii="Times New Roman" w:hAnsi="Times New Roman" w:cs="Times New Roman"/>
          <w:b/>
          <w:color w:val="000000"/>
          <w:kern w:val="0"/>
          <w:sz w:val="32"/>
          <w:szCs w:val="32"/>
          <w:highlight w:val="none"/>
        </w:rPr>
      </w:pPr>
    </w:p>
    <w:p w14:paraId="6A9E6B99">
      <w:pPr>
        <w:autoSpaceDE w:val="0"/>
        <w:autoSpaceDN w:val="0"/>
        <w:adjustRightInd w:val="0"/>
        <w:spacing w:line="360" w:lineRule="auto"/>
        <w:ind w:left="359" w:leftChars="171" w:firstLine="643"/>
        <w:jc w:val="left"/>
        <w:rPr>
          <w:rFonts w:ascii="Times New Roman" w:hAnsi="Times New Roman" w:cs="Times New Roman"/>
          <w:b/>
          <w:color w:val="000000"/>
          <w:kern w:val="0"/>
          <w:sz w:val="32"/>
          <w:szCs w:val="32"/>
          <w:highlight w:val="none"/>
        </w:rPr>
      </w:pPr>
    </w:p>
    <w:p w14:paraId="437D50BE">
      <w:pPr>
        <w:autoSpaceDE w:val="0"/>
        <w:autoSpaceDN w:val="0"/>
        <w:adjustRightInd w:val="0"/>
        <w:spacing w:line="360" w:lineRule="auto"/>
        <w:ind w:left="359" w:leftChars="171" w:firstLine="643"/>
        <w:jc w:val="left"/>
        <w:rPr>
          <w:rFonts w:ascii="Times New Roman" w:hAnsi="Times New Roman" w:cs="Times New Roman"/>
          <w:b/>
          <w:color w:val="000000"/>
          <w:kern w:val="0"/>
          <w:sz w:val="32"/>
          <w:szCs w:val="32"/>
          <w:highlight w:val="none"/>
        </w:rPr>
      </w:pPr>
    </w:p>
    <w:p w14:paraId="695CBBE5">
      <w:pPr>
        <w:autoSpaceDE w:val="0"/>
        <w:autoSpaceDN w:val="0"/>
        <w:adjustRightInd w:val="0"/>
        <w:spacing w:line="360" w:lineRule="auto"/>
        <w:ind w:left="359" w:leftChars="171" w:firstLine="643"/>
        <w:jc w:val="left"/>
        <w:rPr>
          <w:rFonts w:ascii="Times New Roman" w:hAnsi="Times New Roman" w:cs="Times New Roman"/>
          <w:b/>
          <w:color w:val="000000"/>
          <w:kern w:val="0"/>
          <w:sz w:val="32"/>
          <w:szCs w:val="32"/>
          <w:highlight w:val="none"/>
        </w:rPr>
      </w:pPr>
    </w:p>
    <w:p w14:paraId="0D4F2E8C">
      <w:pPr>
        <w:tabs>
          <w:tab w:val="left" w:pos="6069"/>
          <w:tab w:val="left" w:pos="6640"/>
        </w:tabs>
        <w:autoSpaceDE w:val="0"/>
        <w:autoSpaceDN w:val="0"/>
        <w:adjustRightInd w:val="0"/>
        <w:spacing w:line="360" w:lineRule="auto"/>
        <w:ind w:left="359" w:leftChars="171" w:right="403" w:firstLine="638"/>
        <w:jc w:val="left"/>
        <w:rPr>
          <w:rFonts w:ascii="Times New Roman" w:hAnsi="Times New Roman" w:cs="Times New Roman"/>
          <w:b/>
          <w:color w:val="000000"/>
          <w:w w:val="99"/>
          <w:kern w:val="0"/>
          <w:sz w:val="32"/>
          <w:szCs w:val="32"/>
          <w:highlight w:val="none"/>
        </w:rPr>
      </w:pPr>
      <w:r>
        <w:rPr>
          <w:rFonts w:hint="eastAsia" w:ascii="Times New Roman" w:hAnsi="Times New Roman" w:cs="Times New Roman"/>
          <w:b/>
          <w:color w:val="000000"/>
          <w:w w:val="99"/>
          <w:kern w:val="0"/>
          <w:sz w:val="32"/>
          <w:szCs w:val="32"/>
          <w:highlight w:val="none"/>
        </w:rPr>
        <w:t>比选申请人</w:t>
      </w:r>
      <w:r>
        <w:rPr>
          <w:rFonts w:ascii="Times New Roman" w:hAnsi="Times New Roman" w:cs="Times New Roman"/>
          <w:b/>
          <w:color w:val="000000"/>
          <w:spacing w:val="1"/>
          <w:w w:val="99"/>
          <w:kern w:val="0"/>
          <w:sz w:val="32"/>
          <w:szCs w:val="32"/>
          <w:highlight w:val="none"/>
        </w:rPr>
        <w:t>：</w:t>
      </w:r>
      <w:r>
        <w:rPr>
          <w:rFonts w:ascii="Times New Roman" w:hAnsi="Times New Roman" w:cs="Times New Roman"/>
          <w:b/>
          <w:color w:val="000000"/>
          <w:kern w:val="0"/>
          <w:sz w:val="32"/>
          <w:szCs w:val="32"/>
          <w:highlight w:val="none"/>
          <w:u w:val="single"/>
        </w:rPr>
        <w:tab/>
      </w:r>
      <w:r>
        <w:rPr>
          <w:rFonts w:ascii="Times New Roman" w:hAnsi="Times New Roman" w:cs="Times New Roman"/>
          <w:b/>
          <w:color w:val="000000"/>
          <w:w w:val="99"/>
          <w:kern w:val="0"/>
          <w:sz w:val="32"/>
          <w:szCs w:val="32"/>
          <w:highlight w:val="none"/>
        </w:rPr>
        <w:t>（盖单位章）</w:t>
      </w:r>
    </w:p>
    <w:p w14:paraId="5AC755BF">
      <w:pPr>
        <w:tabs>
          <w:tab w:val="left" w:pos="6069"/>
          <w:tab w:val="left" w:pos="6640"/>
        </w:tabs>
        <w:autoSpaceDE w:val="0"/>
        <w:autoSpaceDN w:val="0"/>
        <w:adjustRightInd w:val="0"/>
        <w:spacing w:line="360" w:lineRule="auto"/>
        <w:ind w:left="359" w:leftChars="171" w:right="403" w:firstLine="638"/>
        <w:jc w:val="left"/>
        <w:rPr>
          <w:rFonts w:ascii="Times New Roman" w:hAnsi="Times New Roman" w:cs="Times New Roman"/>
          <w:b/>
          <w:color w:val="000000"/>
          <w:w w:val="99"/>
          <w:kern w:val="0"/>
          <w:sz w:val="32"/>
          <w:szCs w:val="32"/>
          <w:highlight w:val="none"/>
        </w:rPr>
      </w:pPr>
      <w:r>
        <w:rPr>
          <w:rFonts w:ascii="Times New Roman" w:hAnsi="Times New Roman" w:cs="Times New Roman"/>
          <w:b/>
          <w:color w:val="000000"/>
          <w:w w:val="99"/>
          <w:kern w:val="0"/>
          <w:sz w:val="32"/>
          <w:szCs w:val="32"/>
          <w:highlight w:val="none"/>
        </w:rPr>
        <w:t>法定代表人或其委托代理人：</w:t>
      </w:r>
      <w:r>
        <w:rPr>
          <w:rFonts w:ascii="Times New Roman" w:hAnsi="Times New Roman" w:cs="Times New Roman"/>
          <w:b/>
          <w:color w:val="000000"/>
          <w:kern w:val="0"/>
          <w:sz w:val="32"/>
          <w:szCs w:val="32"/>
          <w:highlight w:val="none"/>
          <w:u w:val="single"/>
        </w:rPr>
        <w:tab/>
      </w:r>
      <w:r>
        <w:rPr>
          <w:rFonts w:ascii="Times New Roman" w:hAnsi="Times New Roman" w:cs="Times New Roman"/>
          <w:b/>
          <w:color w:val="000000"/>
          <w:w w:val="99"/>
          <w:kern w:val="0"/>
          <w:sz w:val="32"/>
          <w:szCs w:val="32"/>
          <w:highlight w:val="none"/>
        </w:rPr>
        <w:t>（签字）</w:t>
      </w:r>
    </w:p>
    <w:p w14:paraId="0E356A25">
      <w:pPr>
        <w:tabs>
          <w:tab w:val="left" w:pos="2630"/>
          <w:tab w:val="left" w:pos="4190"/>
          <w:tab w:val="left" w:pos="5435"/>
        </w:tabs>
        <w:autoSpaceDE w:val="0"/>
        <w:autoSpaceDN w:val="0"/>
        <w:adjustRightInd w:val="0"/>
        <w:spacing w:line="360" w:lineRule="auto"/>
        <w:ind w:right="-20" w:firstLine="2554" w:firstLineChars="795"/>
        <w:jc w:val="left"/>
        <w:rPr>
          <w:rFonts w:ascii="Times New Roman" w:hAnsi="Times New Roman" w:cs="Times New Roman"/>
          <w:b/>
          <w:color w:val="000000"/>
          <w:kern w:val="0"/>
          <w:sz w:val="32"/>
          <w:szCs w:val="32"/>
          <w:highlight w:val="none"/>
        </w:rPr>
      </w:pPr>
      <w:r>
        <w:rPr>
          <w:rFonts w:ascii="Times New Roman" w:hAnsi="Times New Roman" w:cs="Times New Roman"/>
          <w:b/>
          <w:color w:val="000000"/>
          <w:kern w:val="0"/>
          <w:sz w:val="32"/>
          <w:szCs w:val="32"/>
          <w:highlight w:val="none"/>
        </w:rPr>
        <w:t>日期：</w:t>
      </w:r>
      <w:r>
        <w:rPr>
          <w:rFonts w:ascii="Times New Roman" w:hAnsi="Times New Roman" w:cs="Times New Roman"/>
          <w:b/>
          <w:color w:val="000000"/>
          <w:kern w:val="0"/>
          <w:sz w:val="32"/>
          <w:szCs w:val="32"/>
          <w:highlight w:val="none"/>
          <w:u w:val="single"/>
        </w:rPr>
        <w:tab/>
      </w:r>
      <w:r>
        <w:rPr>
          <w:rFonts w:ascii="Times New Roman" w:hAnsi="Times New Roman" w:cs="Times New Roman"/>
          <w:b/>
          <w:color w:val="000000"/>
          <w:w w:val="99"/>
          <w:kern w:val="0"/>
          <w:sz w:val="32"/>
          <w:szCs w:val="32"/>
          <w:highlight w:val="none"/>
        </w:rPr>
        <w:t>年</w:t>
      </w:r>
      <w:r>
        <w:rPr>
          <w:rFonts w:ascii="Times New Roman" w:hAnsi="Times New Roman" w:cs="Times New Roman"/>
          <w:b/>
          <w:color w:val="000000"/>
          <w:w w:val="99"/>
          <w:kern w:val="0"/>
          <w:sz w:val="32"/>
          <w:szCs w:val="32"/>
          <w:highlight w:val="none"/>
          <w:u w:val="single"/>
        </w:rPr>
        <w:t xml:space="preserve">  </w:t>
      </w:r>
      <w:r>
        <w:rPr>
          <w:rFonts w:ascii="Times New Roman" w:hAnsi="Times New Roman" w:cs="Times New Roman"/>
          <w:b/>
          <w:color w:val="000000"/>
          <w:w w:val="99"/>
          <w:kern w:val="0"/>
          <w:sz w:val="32"/>
          <w:szCs w:val="32"/>
          <w:highlight w:val="none"/>
        </w:rPr>
        <w:t>月</w:t>
      </w:r>
      <w:r>
        <w:rPr>
          <w:rFonts w:ascii="Times New Roman" w:hAnsi="Times New Roman" w:cs="Times New Roman"/>
          <w:b/>
          <w:color w:val="000000"/>
          <w:kern w:val="0"/>
          <w:sz w:val="32"/>
          <w:szCs w:val="32"/>
          <w:highlight w:val="none"/>
          <w:u w:val="single"/>
        </w:rPr>
        <w:tab/>
      </w:r>
      <w:r>
        <w:rPr>
          <w:rFonts w:ascii="Times New Roman" w:hAnsi="Times New Roman" w:cs="Times New Roman"/>
          <w:b/>
          <w:color w:val="000000"/>
          <w:w w:val="99"/>
          <w:kern w:val="0"/>
          <w:sz w:val="32"/>
          <w:szCs w:val="32"/>
          <w:highlight w:val="none"/>
        </w:rPr>
        <w:t>日</w:t>
      </w:r>
    </w:p>
    <w:p w14:paraId="75F4C5E6">
      <w:pPr>
        <w:spacing w:line="360" w:lineRule="auto"/>
        <w:jc w:val="center"/>
        <w:rPr>
          <w:rFonts w:ascii="Times New Roman" w:hAnsi="Times New Roman" w:cs="Times New Roman"/>
          <w:b/>
          <w:color w:val="000000"/>
          <w:sz w:val="28"/>
          <w:szCs w:val="28"/>
          <w:highlight w:val="none"/>
        </w:rPr>
      </w:pPr>
      <w:r>
        <w:rPr>
          <w:rFonts w:ascii="Times New Roman" w:hAnsi="Times New Roman" w:cs="Times New Roman"/>
          <w:b/>
          <w:color w:val="000000"/>
          <w:sz w:val="24"/>
          <w:highlight w:val="none"/>
        </w:rPr>
        <w:br w:type="page"/>
      </w:r>
      <w:r>
        <w:rPr>
          <w:rFonts w:ascii="Times New Roman" w:hAnsi="Times New Roman" w:cs="Times New Roman"/>
          <w:b/>
          <w:color w:val="000000"/>
          <w:sz w:val="28"/>
          <w:szCs w:val="28"/>
          <w:highlight w:val="none"/>
        </w:rPr>
        <w:t>目  录</w:t>
      </w:r>
    </w:p>
    <w:p w14:paraId="135FD67C">
      <w:pPr>
        <w:pStyle w:val="22"/>
        <w:widowControl/>
        <w:numPr>
          <w:ilvl w:val="0"/>
          <w:numId w:val="7"/>
        </w:numPr>
        <w:spacing w:line="360" w:lineRule="auto"/>
        <w:ind w:firstLineChars="0"/>
        <w:jc w:val="left"/>
        <w:rPr>
          <w:color w:val="000000"/>
          <w:szCs w:val="21"/>
          <w:highlight w:val="none"/>
        </w:rPr>
      </w:pPr>
      <w:r>
        <w:rPr>
          <w:rFonts w:hint="eastAsia"/>
          <w:color w:val="000000"/>
          <w:szCs w:val="21"/>
          <w:highlight w:val="none"/>
        </w:rPr>
        <w:t>比选申请</w:t>
      </w:r>
      <w:r>
        <w:rPr>
          <w:color w:val="000000"/>
          <w:szCs w:val="21"/>
          <w:highlight w:val="none"/>
        </w:rPr>
        <w:t>函及</w:t>
      </w:r>
      <w:r>
        <w:rPr>
          <w:rFonts w:hint="eastAsia"/>
          <w:color w:val="000000"/>
          <w:szCs w:val="21"/>
          <w:highlight w:val="none"/>
        </w:rPr>
        <w:t>比选申请</w:t>
      </w:r>
      <w:r>
        <w:rPr>
          <w:color w:val="000000"/>
          <w:szCs w:val="21"/>
          <w:highlight w:val="none"/>
        </w:rPr>
        <w:t>函附录</w:t>
      </w:r>
    </w:p>
    <w:p w14:paraId="14906D3D">
      <w:pPr>
        <w:pStyle w:val="22"/>
        <w:widowControl/>
        <w:numPr>
          <w:ilvl w:val="0"/>
          <w:numId w:val="7"/>
        </w:numPr>
        <w:spacing w:line="360" w:lineRule="auto"/>
        <w:ind w:firstLineChars="0"/>
        <w:jc w:val="left"/>
        <w:rPr>
          <w:color w:val="000000"/>
          <w:szCs w:val="21"/>
          <w:highlight w:val="none"/>
        </w:rPr>
      </w:pPr>
      <w:r>
        <w:rPr>
          <w:color w:val="000000"/>
          <w:szCs w:val="21"/>
          <w:highlight w:val="none"/>
        </w:rPr>
        <w:t>法定代表人身份证明</w:t>
      </w:r>
    </w:p>
    <w:p w14:paraId="210B7646">
      <w:pPr>
        <w:pStyle w:val="22"/>
        <w:widowControl/>
        <w:numPr>
          <w:ilvl w:val="0"/>
          <w:numId w:val="7"/>
        </w:numPr>
        <w:spacing w:line="360" w:lineRule="auto"/>
        <w:ind w:firstLineChars="0"/>
        <w:jc w:val="left"/>
        <w:rPr>
          <w:color w:val="000000"/>
          <w:szCs w:val="21"/>
          <w:highlight w:val="none"/>
        </w:rPr>
      </w:pPr>
      <w:r>
        <w:rPr>
          <w:color w:val="000000"/>
          <w:szCs w:val="21"/>
          <w:highlight w:val="none"/>
        </w:rPr>
        <w:t>授权委托书</w:t>
      </w:r>
    </w:p>
    <w:p w14:paraId="13FC5FDB">
      <w:pPr>
        <w:pStyle w:val="22"/>
        <w:widowControl/>
        <w:numPr>
          <w:ilvl w:val="0"/>
          <w:numId w:val="7"/>
        </w:numPr>
        <w:spacing w:line="360" w:lineRule="auto"/>
        <w:ind w:firstLineChars="0"/>
        <w:jc w:val="left"/>
        <w:rPr>
          <w:color w:val="000000"/>
          <w:szCs w:val="21"/>
          <w:highlight w:val="none"/>
        </w:rPr>
      </w:pPr>
      <w:r>
        <w:rPr>
          <w:color w:val="000000"/>
          <w:szCs w:val="21"/>
          <w:highlight w:val="none"/>
        </w:rPr>
        <w:t>项目管理机构</w:t>
      </w:r>
    </w:p>
    <w:p w14:paraId="7DA098A1">
      <w:pPr>
        <w:pStyle w:val="22"/>
        <w:widowControl/>
        <w:numPr>
          <w:ilvl w:val="0"/>
          <w:numId w:val="7"/>
        </w:numPr>
        <w:spacing w:line="360" w:lineRule="auto"/>
        <w:ind w:firstLineChars="0"/>
        <w:jc w:val="left"/>
        <w:rPr>
          <w:color w:val="000000"/>
          <w:szCs w:val="21"/>
          <w:highlight w:val="none"/>
        </w:rPr>
      </w:pPr>
      <w:r>
        <w:rPr>
          <w:color w:val="000000"/>
          <w:szCs w:val="21"/>
          <w:highlight w:val="none"/>
        </w:rPr>
        <w:t>资格审查资料</w:t>
      </w:r>
    </w:p>
    <w:p w14:paraId="729BD5BF">
      <w:pPr>
        <w:pStyle w:val="22"/>
        <w:widowControl/>
        <w:numPr>
          <w:ilvl w:val="0"/>
          <w:numId w:val="7"/>
        </w:numPr>
        <w:spacing w:line="360" w:lineRule="auto"/>
        <w:ind w:firstLineChars="0"/>
        <w:jc w:val="left"/>
        <w:rPr>
          <w:color w:val="000000"/>
          <w:szCs w:val="21"/>
          <w:highlight w:val="none"/>
        </w:rPr>
      </w:pPr>
      <w:r>
        <w:rPr>
          <w:rFonts w:hint="eastAsia"/>
          <w:color w:val="000000"/>
          <w:szCs w:val="21"/>
          <w:highlight w:val="none"/>
          <w:lang w:val="en-US" w:eastAsia="zh-CN"/>
        </w:rPr>
        <w:t>施工组织设计</w:t>
      </w:r>
    </w:p>
    <w:p w14:paraId="08BE0DDB">
      <w:pPr>
        <w:pStyle w:val="22"/>
        <w:widowControl/>
        <w:numPr>
          <w:ilvl w:val="0"/>
          <w:numId w:val="7"/>
        </w:numPr>
        <w:spacing w:line="360" w:lineRule="auto"/>
        <w:ind w:firstLineChars="0"/>
        <w:jc w:val="left"/>
        <w:rPr>
          <w:color w:val="000000"/>
          <w:szCs w:val="21"/>
          <w:highlight w:val="none"/>
        </w:rPr>
      </w:pPr>
      <w:r>
        <w:rPr>
          <w:color w:val="000000"/>
          <w:szCs w:val="21"/>
          <w:highlight w:val="none"/>
        </w:rPr>
        <w:t>其他资料</w:t>
      </w:r>
    </w:p>
    <w:p w14:paraId="0BB5E4CE">
      <w:pPr>
        <w:spacing w:line="360" w:lineRule="auto"/>
        <w:ind w:firstLine="420" w:firstLineChars="200"/>
        <w:rPr>
          <w:rFonts w:ascii="Times New Roman" w:hAnsi="Times New Roman" w:cs="Times New Roman"/>
          <w:color w:val="000000"/>
          <w:szCs w:val="21"/>
          <w:highlight w:val="none"/>
        </w:rPr>
      </w:pPr>
    </w:p>
    <w:p w14:paraId="334689CE">
      <w:pPr>
        <w:spacing w:line="360" w:lineRule="auto"/>
        <w:ind w:firstLine="420" w:firstLineChars="200"/>
        <w:rPr>
          <w:rFonts w:ascii="Times New Roman" w:hAnsi="Times New Roman" w:cs="Times New Roman"/>
          <w:color w:val="000000"/>
          <w:szCs w:val="21"/>
          <w:highlight w:val="none"/>
        </w:rPr>
      </w:pPr>
    </w:p>
    <w:p w14:paraId="6A1D5C5D">
      <w:pPr>
        <w:spacing w:line="360" w:lineRule="auto"/>
        <w:ind w:firstLine="420" w:firstLineChars="200"/>
        <w:rPr>
          <w:rFonts w:ascii="Times New Roman" w:hAnsi="Times New Roman" w:cs="Times New Roman"/>
          <w:color w:val="000000"/>
          <w:szCs w:val="21"/>
          <w:highlight w:val="none"/>
        </w:rPr>
      </w:pPr>
    </w:p>
    <w:p w14:paraId="6A2619BB">
      <w:pPr>
        <w:spacing w:line="360" w:lineRule="auto"/>
        <w:ind w:firstLine="420" w:firstLineChars="200"/>
        <w:rPr>
          <w:rFonts w:ascii="Times New Roman" w:hAnsi="Times New Roman" w:cs="Times New Roman"/>
          <w:color w:val="000000"/>
          <w:szCs w:val="21"/>
          <w:highlight w:val="none"/>
        </w:rPr>
      </w:pPr>
    </w:p>
    <w:p w14:paraId="572F83FC">
      <w:pPr>
        <w:spacing w:line="360" w:lineRule="auto"/>
        <w:ind w:firstLine="420" w:firstLineChars="200"/>
        <w:rPr>
          <w:rFonts w:ascii="Times New Roman" w:hAnsi="Times New Roman" w:cs="Times New Roman"/>
          <w:color w:val="000000"/>
          <w:szCs w:val="21"/>
          <w:highlight w:val="none"/>
        </w:rPr>
      </w:pPr>
    </w:p>
    <w:p w14:paraId="4836805F">
      <w:pPr>
        <w:spacing w:line="360" w:lineRule="auto"/>
        <w:ind w:firstLine="420" w:firstLineChars="200"/>
        <w:rPr>
          <w:rFonts w:ascii="Times New Roman" w:hAnsi="Times New Roman" w:cs="Times New Roman"/>
          <w:color w:val="000000"/>
          <w:szCs w:val="21"/>
          <w:highlight w:val="none"/>
        </w:rPr>
      </w:pPr>
    </w:p>
    <w:p w14:paraId="3A22FEAE">
      <w:pPr>
        <w:spacing w:line="360" w:lineRule="auto"/>
        <w:ind w:firstLine="420" w:firstLineChars="200"/>
        <w:rPr>
          <w:rFonts w:ascii="Times New Roman" w:hAnsi="Times New Roman" w:cs="Times New Roman"/>
          <w:color w:val="000000"/>
          <w:szCs w:val="21"/>
          <w:highlight w:val="none"/>
        </w:rPr>
      </w:pPr>
    </w:p>
    <w:p w14:paraId="120B8F3B">
      <w:pPr>
        <w:spacing w:line="360" w:lineRule="auto"/>
        <w:ind w:firstLine="420" w:firstLineChars="200"/>
        <w:rPr>
          <w:rFonts w:ascii="Times New Roman" w:hAnsi="Times New Roman" w:cs="Times New Roman"/>
          <w:color w:val="000000"/>
          <w:szCs w:val="21"/>
          <w:highlight w:val="none"/>
        </w:rPr>
      </w:pPr>
    </w:p>
    <w:p w14:paraId="756D74C0">
      <w:pPr>
        <w:spacing w:line="360" w:lineRule="auto"/>
        <w:ind w:firstLine="420" w:firstLineChars="200"/>
        <w:rPr>
          <w:rFonts w:ascii="Times New Roman" w:hAnsi="Times New Roman" w:cs="Times New Roman"/>
          <w:color w:val="000000"/>
          <w:szCs w:val="21"/>
          <w:highlight w:val="none"/>
        </w:rPr>
      </w:pPr>
    </w:p>
    <w:p w14:paraId="789C14AD">
      <w:pPr>
        <w:spacing w:line="360" w:lineRule="auto"/>
        <w:ind w:firstLine="420" w:firstLineChars="200"/>
        <w:rPr>
          <w:rFonts w:ascii="Times New Roman" w:hAnsi="Times New Roman" w:cs="Times New Roman"/>
          <w:color w:val="000000"/>
          <w:szCs w:val="21"/>
          <w:highlight w:val="none"/>
        </w:rPr>
      </w:pPr>
    </w:p>
    <w:p w14:paraId="2618680B">
      <w:pPr>
        <w:spacing w:line="360" w:lineRule="auto"/>
        <w:ind w:firstLine="420" w:firstLineChars="200"/>
        <w:rPr>
          <w:rFonts w:ascii="Times New Roman" w:hAnsi="Times New Roman" w:cs="Times New Roman"/>
          <w:color w:val="000000"/>
          <w:szCs w:val="21"/>
          <w:highlight w:val="none"/>
        </w:rPr>
      </w:pPr>
    </w:p>
    <w:p w14:paraId="05958726">
      <w:pPr>
        <w:spacing w:line="360" w:lineRule="auto"/>
        <w:ind w:firstLine="420" w:firstLineChars="200"/>
        <w:rPr>
          <w:rFonts w:ascii="Times New Roman" w:hAnsi="Times New Roman" w:cs="Times New Roman"/>
          <w:color w:val="000000"/>
          <w:szCs w:val="21"/>
          <w:highlight w:val="none"/>
        </w:rPr>
      </w:pPr>
    </w:p>
    <w:p w14:paraId="6BD54E1A">
      <w:pPr>
        <w:spacing w:line="360" w:lineRule="auto"/>
        <w:ind w:firstLine="420" w:firstLineChars="200"/>
        <w:rPr>
          <w:rFonts w:ascii="Times New Roman" w:hAnsi="Times New Roman" w:cs="Times New Roman"/>
          <w:color w:val="000000"/>
          <w:szCs w:val="21"/>
          <w:highlight w:val="none"/>
        </w:rPr>
      </w:pPr>
    </w:p>
    <w:p w14:paraId="6F5AC31E">
      <w:pPr>
        <w:spacing w:line="360" w:lineRule="auto"/>
        <w:rPr>
          <w:rFonts w:ascii="Times New Roman" w:hAnsi="Times New Roman" w:cs="Times New Roman"/>
          <w:color w:val="000000"/>
          <w:szCs w:val="21"/>
          <w:highlight w:val="none"/>
        </w:rPr>
      </w:pPr>
    </w:p>
    <w:p w14:paraId="23230B38">
      <w:pPr>
        <w:spacing w:line="360" w:lineRule="auto"/>
        <w:ind w:firstLine="420" w:firstLineChars="200"/>
        <w:rPr>
          <w:rFonts w:ascii="Times New Roman" w:hAnsi="Times New Roman" w:cs="Times New Roman"/>
          <w:color w:val="000000"/>
          <w:szCs w:val="21"/>
          <w:highlight w:val="none"/>
        </w:rPr>
      </w:pPr>
    </w:p>
    <w:p w14:paraId="7170A53B">
      <w:pPr>
        <w:pStyle w:val="4"/>
        <w:numPr>
          <w:ilvl w:val="0"/>
          <w:numId w:val="8"/>
        </w:numPr>
        <w:jc w:val="center"/>
        <w:rPr>
          <w:bCs w:val="0"/>
          <w:sz w:val="28"/>
          <w:szCs w:val="28"/>
          <w:highlight w:val="none"/>
        </w:rPr>
      </w:pPr>
      <w:r>
        <w:rPr>
          <w:color w:val="000000"/>
          <w:szCs w:val="21"/>
          <w:highlight w:val="none"/>
        </w:rPr>
        <w:br w:type="page"/>
      </w:r>
      <w:r>
        <w:rPr>
          <w:rFonts w:hint="eastAsia"/>
          <w:bCs w:val="0"/>
          <w:sz w:val="28"/>
          <w:szCs w:val="28"/>
          <w:highlight w:val="none"/>
        </w:rPr>
        <w:t>比选申请</w:t>
      </w:r>
      <w:r>
        <w:rPr>
          <w:bCs w:val="0"/>
          <w:sz w:val="28"/>
          <w:szCs w:val="28"/>
          <w:highlight w:val="none"/>
        </w:rPr>
        <w:t>函及</w:t>
      </w:r>
      <w:r>
        <w:rPr>
          <w:rFonts w:hint="eastAsia"/>
          <w:bCs w:val="0"/>
          <w:sz w:val="28"/>
          <w:szCs w:val="28"/>
          <w:highlight w:val="none"/>
        </w:rPr>
        <w:t>比选申请</w:t>
      </w:r>
      <w:r>
        <w:rPr>
          <w:bCs w:val="0"/>
          <w:sz w:val="28"/>
          <w:szCs w:val="28"/>
          <w:highlight w:val="none"/>
        </w:rPr>
        <w:t>函附录</w:t>
      </w:r>
    </w:p>
    <w:p w14:paraId="3E5744A2">
      <w:pPr>
        <w:pStyle w:val="5"/>
        <w:ind w:left="359" w:leftChars="171"/>
        <w:jc w:val="center"/>
        <w:rPr>
          <w:rFonts w:ascii="Times New Roman" w:hAnsi="Times New Roman"/>
          <w:sz w:val="28"/>
          <w:highlight w:val="none"/>
        </w:rPr>
      </w:pPr>
      <w:r>
        <w:rPr>
          <w:rFonts w:ascii="Times New Roman" w:hAnsi="Times New Roman"/>
          <w:sz w:val="28"/>
          <w:highlight w:val="none"/>
        </w:rPr>
        <w:t>(一)</w:t>
      </w:r>
      <w:r>
        <w:rPr>
          <w:rFonts w:hint="eastAsia" w:ascii="Times New Roman" w:hAnsi="Times New Roman"/>
          <w:sz w:val="28"/>
          <w:highlight w:val="none"/>
        </w:rPr>
        <w:t>比选申请</w:t>
      </w:r>
      <w:r>
        <w:rPr>
          <w:rFonts w:ascii="Times New Roman" w:hAnsi="Times New Roman"/>
          <w:sz w:val="28"/>
          <w:highlight w:val="none"/>
        </w:rPr>
        <w:t>函</w:t>
      </w:r>
    </w:p>
    <w:p w14:paraId="230EB827">
      <w:pPr>
        <w:spacing w:line="360" w:lineRule="auto"/>
        <w:ind w:firstLine="420" w:firstLineChars="200"/>
        <w:rPr>
          <w:rFonts w:ascii="Times New Roman" w:hAnsi="Times New Roman" w:cs="Times New Roman"/>
          <w:szCs w:val="21"/>
          <w:highlight w:val="none"/>
        </w:rPr>
      </w:pPr>
      <w:r>
        <w:rPr>
          <w:rFonts w:ascii="Times New Roman" w:hAnsi="Times New Roman" w:cs="Times New Roman"/>
          <w:szCs w:val="21"/>
          <w:highlight w:val="none"/>
          <w:u w:val="single"/>
        </w:rPr>
        <w:t xml:space="preserve">                </w:t>
      </w:r>
      <w:r>
        <w:rPr>
          <w:rFonts w:ascii="Times New Roman" w:hAnsi="Times New Roman" w:cs="Times New Roman"/>
          <w:color w:val="000000"/>
          <w:szCs w:val="21"/>
          <w:highlight w:val="none"/>
        </w:rPr>
        <w:t>（</w:t>
      </w:r>
      <w:r>
        <w:rPr>
          <w:rFonts w:hint="eastAsia" w:ascii="Times New Roman" w:hAnsi="Times New Roman" w:cs="Times New Roman"/>
          <w:color w:val="000000"/>
          <w:szCs w:val="21"/>
          <w:highlight w:val="none"/>
        </w:rPr>
        <w:t>比选人</w:t>
      </w:r>
      <w:r>
        <w:rPr>
          <w:rFonts w:ascii="Times New Roman" w:hAnsi="Times New Roman" w:cs="Times New Roman"/>
          <w:color w:val="000000"/>
          <w:szCs w:val="21"/>
          <w:highlight w:val="none"/>
        </w:rPr>
        <w:t>名称）</w:t>
      </w:r>
      <w:r>
        <w:rPr>
          <w:rFonts w:hint="eastAsia" w:ascii="Times New Roman" w:hAnsi="Times New Roman" w:cs="Times New Roman"/>
          <w:color w:val="000000"/>
          <w:szCs w:val="21"/>
          <w:highlight w:val="none"/>
          <w:lang w:eastAsia="zh-CN"/>
        </w:rPr>
        <w:t>：</w:t>
      </w:r>
    </w:p>
    <w:p w14:paraId="3F0E45B8">
      <w:pPr>
        <w:spacing w:line="360" w:lineRule="auto"/>
        <w:ind w:firstLine="420" w:firstLineChars="200"/>
        <w:rPr>
          <w:rFonts w:ascii="Times New Roman" w:hAnsi="Times New Roman" w:cs="Times New Roman"/>
          <w:szCs w:val="21"/>
          <w:highlight w:val="none"/>
        </w:rPr>
      </w:pPr>
      <w:r>
        <w:rPr>
          <w:rFonts w:ascii="Times New Roman" w:hAnsi="Times New Roman" w:cs="Times New Roman"/>
          <w:szCs w:val="21"/>
          <w:highlight w:val="none"/>
        </w:rPr>
        <w:t>我方</w:t>
      </w:r>
      <w:r>
        <w:rPr>
          <w:rFonts w:hint="eastAsia" w:ascii="Times New Roman" w:hAnsi="Times New Roman" w:cs="Times New Roman"/>
          <w:szCs w:val="21"/>
          <w:highlight w:val="none"/>
          <w:lang w:eastAsia="zh-CN"/>
        </w:rPr>
        <w:t>已</w:t>
      </w:r>
      <w:r>
        <w:rPr>
          <w:rFonts w:ascii="Times New Roman" w:hAnsi="Times New Roman" w:cs="Times New Roman"/>
          <w:szCs w:val="21"/>
          <w:highlight w:val="none"/>
        </w:rPr>
        <w:t>仔细研究了</w:t>
      </w:r>
      <w:r>
        <w:rPr>
          <w:rFonts w:ascii="Times New Roman" w:hAnsi="Times New Roman" w:cs="Times New Roman"/>
          <w:szCs w:val="21"/>
          <w:highlight w:val="none"/>
          <w:u w:val="single"/>
        </w:rPr>
        <w:t xml:space="preserve">                </w:t>
      </w:r>
      <w:r>
        <w:rPr>
          <w:rFonts w:hint="eastAsia" w:ascii="Times New Roman" w:hAnsi="Times New Roman" w:cs="Times New Roman"/>
          <w:szCs w:val="21"/>
          <w:highlight w:val="none"/>
          <w:u w:val="single"/>
          <w:lang w:eastAsia="zh-CN"/>
        </w:rPr>
        <w:t>（</w:t>
      </w:r>
      <w:r>
        <w:rPr>
          <w:rFonts w:hint="eastAsia" w:ascii="Times New Roman" w:hAnsi="Times New Roman" w:cs="Times New Roman"/>
          <w:szCs w:val="21"/>
          <w:highlight w:val="none"/>
          <w:u w:val="single"/>
          <w:lang w:val="en-US" w:eastAsia="zh-CN"/>
        </w:rPr>
        <w:t>项目名称</w:t>
      </w:r>
      <w:r>
        <w:rPr>
          <w:rFonts w:hint="eastAsia" w:ascii="Times New Roman" w:hAnsi="Times New Roman" w:cs="Times New Roman"/>
          <w:szCs w:val="21"/>
          <w:highlight w:val="none"/>
          <w:u w:val="single"/>
          <w:lang w:eastAsia="zh-CN"/>
        </w:rPr>
        <w:t>）</w:t>
      </w:r>
      <w:r>
        <w:rPr>
          <w:rFonts w:hint="eastAsia" w:ascii="Times New Roman" w:hAnsi="Times New Roman" w:cs="Times New Roman"/>
          <w:szCs w:val="21"/>
          <w:highlight w:val="none"/>
        </w:rPr>
        <w:t>比选</w:t>
      </w:r>
      <w:r>
        <w:rPr>
          <w:rFonts w:ascii="Times New Roman" w:hAnsi="Times New Roman" w:cs="Times New Roman"/>
          <w:szCs w:val="21"/>
          <w:highlight w:val="none"/>
        </w:rPr>
        <w:t>文件的全部内容，遵照《中华人民共和国</w:t>
      </w:r>
      <w:r>
        <w:rPr>
          <w:rFonts w:hint="eastAsia" w:ascii="Times New Roman" w:hAnsi="Times New Roman" w:cs="Times New Roman"/>
          <w:szCs w:val="21"/>
          <w:highlight w:val="none"/>
        </w:rPr>
        <w:t>招标投标</w:t>
      </w:r>
      <w:r>
        <w:rPr>
          <w:rFonts w:ascii="Times New Roman" w:hAnsi="Times New Roman" w:cs="Times New Roman"/>
          <w:szCs w:val="21"/>
          <w:highlight w:val="none"/>
        </w:rPr>
        <w:t>法》等有关规定，经踏勘项目现场和研究上述工程</w:t>
      </w:r>
      <w:r>
        <w:rPr>
          <w:rFonts w:hint="eastAsia" w:ascii="Times New Roman" w:hAnsi="Times New Roman" w:cs="Times New Roman"/>
          <w:szCs w:val="21"/>
          <w:highlight w:val="none"/>
        </w:rPr>
        <w:t>比选</w:t>
      </w:r>
      <w:r>
        <w:rPr>
          <w:rFonts w:ascii="Times New Roman" w:hAnsi="Times New Roman" w:cs="Times New Roman"/>
          <w:szCs w:val="21"/>
          <w:highlight w:val="none"/>
        </w:rPr>
        <w:t>文件、工程建设标准及其他有关文件后，我方愿按上述</w:t>
      </w:r>
      <w:r>
        <w:rPr>
          <w:rFonts w:hint="eastAsia" w:ascii="Times New Roman" w:hAnsi="Times New Roman" w:cs="Times New Roman"/>
          <w:szCs w:val="21"/>
          <w:highlight w:val="none"/>
        </w:rPr>
        <w:t>比选</w:t>
      </w:r>
      <w:r>
        <w:rPr>
          <w:rFonts w:ascii="Times New Roman" w:hAnsi="Times New Roman" w:cs="Times New Roman"/>
          <w:szCs w:val="21"/>
          <w:highlight w:val="none"/>
        </w:rPr>
        <w:t>文件、合同条款、工程建设标准的条件要求，承包本项目的</w:t>
      </w:r>
      <w:r>
        <w:rPr>
          <w:rFonts w:hint="eastAsia" w:ascii="Times New Roman" w:hAnsi="Times New Roman" w:cs="Times New Roman"/>
          <w:szCs w:val="21"/>
          <w:highlight w:val="none"/>
          <w:u w:val="single"/>
          <w:lang w:eastAsia="zh-CN"/>
        </w:rPr>
        <w:t>施工</w:t>
      </w:r>
      <w:r>
        <w:rPr>
          <w:rFonts w:ascii="Times New Roman" w:hAnsi="Times New Roman" w:cs="Times New Roman"/>
          <w:szCs w:val="21"/>
          <w:highlight w:val="none"/>
        </w:rPr>
        <w:t>，并承担质量缺陷保修责任。</w:t>
      </w:r>
    </w:p>
    <w:p w14:paraId="76B4EA71">
      <w:pPr>
        <w:pStyle w:val="11"/>
        <w:snapToGrid w:val="0"/>
        <w:spacing w:line="360" w:lineRule="auto"/>
        <w:ind w:firstLine="420" w:firstLineChars="200"/>
        <w:rPr>
          <w:rFonts w:hint="eastAsia" w:hAnsi="宋体" w:cs="宋体"/>
          <w:color w:val="auto"/>
          <w:highlight w:val="none"/>
        </w:rPr>
      </w:pPr>
      <w:r>
        <w:rPr>
          <w:rFonts w:hint="eastAsia" w:ascii="Times New Roman" w:hAnsi="Times New Roman" w:cs="Times New Roman"/>
          <w:szCs w:val="21"/>
          <w:highlight w:val="none"/>
          <w:lang w:val="en-US" w:eastAsia="zh-CN"/>
        </w:rPr>
        <w:t>1.</w:t>
      </w:r>
      <w:r>
        <w:rPr>
          <w:rFonts w:ascii="Times New Roman" w:hAnsi="Times New Roman" w:cs="Times New Roman"/>
          <w:szCs w:val="21"/>
          <w:highlight w:val="none"/>
        </w:rPr>
        <w:t>我方愿</w:t>
      </w:r>
      <w:r>
        <w:rPr>
          <w:rFonts w:hint="eastAsia" w:ascii="Times New Roman" w:hAnsi="Times New Roman" w:cs="Times New Roman"/>
          <w:szCs w:val="21"/>
          <w:highlight w:val="none"/>
          <w:lang w:eastAsia="zh-CN"/>
        </w:rPr>
        <w:t>以</w:t>
      </w:r>
      <w:r>
        <w:rPr>
          <w:rFonts w:hint="eastAsia" w:ascii="宋体" w:hAnsi="宋体" w:cs="宋体"/>
          <w:b w:val="0"/>
          <w:bCs w:val="0"/>
          <w:color w:val="auto"/>
          <w:kern w:val="2"/>
          <w:sz w:val="21"/>
          <w:szCs w:val="21"/>
          <w:highlight w:val="none"/>
          <w:lang w:eastAsia="zh-CN"/>
        </w:rPr>
        <w:t>招标控制价</w:t>
      </w:r>
      <w:r>
        <w:rPr>
          <w:rFonts w:hint="eastAsia" w:hAnsi="宋体" w:cs="宋体"/>
          <w:b w:val="0"/>
          <w:bCs w:val="0"/>
          <w:color w:val="auto"/>
          <w:kern w:val="2"/>
          <w:sz w:val="21"/>
          <w:szCs w:val="21"/>
          <w:highlight w:val="none"/>
          <w:lang w:eastAsia="zh-CN"/>
        </w:rPr>
        <w:t>（</w:t>
      </w:r>
      <w:r>
        <w:rPr>
          <w:rFonts w:hint="eastAsia" w:hAnsi="宋体" w:cs="宋体"/>
          <w:b w:val="0"/>
          <w:bCs w:val="0"/>
          <w:color w:val="auto"/>
          <w:kern w:val="2"/>
          <w:sz w:val="21"/>
          <w:szCs w:val="21"/>
          <w:highlight w:val="none"/>
          <w:lang w:val="en-US" w:eastAsia="zh-CN"/>
        </w:rPr>
        <w:t>施工图预算</w:t>
      </w:r>
      <w:r>
        <w:rPr>
          <w:rFonts w:hint="eastAsia" w:hAnsi="宋体" w:cs="宋体"/>
          <w:b w:val="0"/>
          <w:bCs w:val="0"/>
          <w:color w:val="auto"/>
          <w:kern w:val="2"/>
          <w:sz w:val="21"/>
          <w:szCs w:val="21"/>
          <w:highlight w:val="none"/>
          <w:lang w:eastAsia="zh-CN"/>
        </w:rPr>
        <w:t>）</w:t>
      </w:r>
      <w:r>
        <w:rPr>
          <w:rFonts w:hint="eastAsia" w:ascii="宋体" w:hAnsi="宋体" w:eastAsia="宋体" w:cs="宋体"/>
          <w:bCs w:val="0"/>
          <w:color w:val="auto"/>
          <w:highlight w:val="none"/>
          <w:lang w:val="en-US" w:eastAsia="zh-CN"/>
        </w:rPr>
        <w:t>清单基础上的取费比例</w:t>
      </w:r>
      <w:r>
        <w:rPr>
          <w:rFonts w:hint="eastAsia" w:ascii="宋体" w:hAnsi="宋体" w:eastAsia="宋体" w:cs="宋体"/>
          <w:bCs w:val="0"/>
          <w:color w:val="auto"/>
          <w:highlight w:val="none"/>
          <w:u w:val="single"/>
          <w:lang w:val="en-US" w:eastAsia="zh-CN"/>
        </w:rPr>
        <w:t xml:space="preserve">    </w:t>
      </w:r>
      <w:r>
        <w:rPr>
          <w:rFonts w:hint="eastAsia" w:hAnsi="宋体" w:cs="宋体"/>
          <w:bCs w:val="0"/>
          <w:color w:val="auto"/>
          <w:highlight w:val="none"/>
          <w:lang w:val="en-US" w:eastAsia="zh-CN"/>
        </w:rPr>
        <w:t>（保留小数点后2位）</w:t>
      </w:r>
      <w:r>
        <w:rPr>
          <w:rFonts w:hint="eastAsia" w:ascii="宋体" w:hAnsi="宋体" w:eastAsia="宋体" w:cs="宋体"/>
          <w:bCs w:val="0"/>
          <w:color w:val="auto"/>
          <w:highlight w:val="none"/>
          <w:lang w:val="en-US" w:eastAsia="zh-CN"/>
        </w:rPr>
        <w:t>作为</w:t>
      </w:r>
      <w:r>
        <w:rPr>
          <w:rFonts w:hint="eastAsia" w:hAnsi="宋体" w:cs="宋体"/>
          <w:color w:val="auto"/>
          <w:highlight w:val="none"/>
          <w:lang w:val="en-US" w:eastAsia="zh-CN"/>
        </w:rPr>
        <w:t>比选申请报价。</w:t>
      </w:r>
    </w:p>
    <w:p w14:paraId="664F81DB">
      <w:pPr>
        <w:pStyle w:val="11"/>
        <w:spacing w:line="360" w:lineRule="auto"/>
        <w:ind w:firstLine="420" w:firstLineChars="200"/>
        <w:rPr>
          <w:rFonts w:hint="default" w:hAnsi="宋体" w:eastAsia="宋体" w:cs="宋体"/>
          <w:color w:val="auto"/>
          <w:highlight w:val="none"/>
          <w:lang w:val="en-US" w:eastAsia="zh-CN"/>
        </w:rPr>
      </w:pPr>
      <w:r>
        <w:rPr>
          <w:rFonts w:hint="eastAsia" w:hAnsi="宋体" w:cs="宋体"/>
          <w:color w:val="auto"/>
          <w:highlight w:val="none"/>
        </w:rPr>
        <w:t>2.</w:t>
      </w:r>
      <w:r>
        <w:rPr>
          <w:rFonts w:hint="eastAsia" w:hAnsi="宋体" w:cs="宋体"/>
          <w:color w:val="auto"/>
          <w:highlight w:val="none"/>
          <w:lang w:eastAsia="zh-CN"/>
        </w:rPr>
        <w:t>我</w:t>
      </w:r>
      <w:r>
        <w:rPr>
          <w:rFonts w:hint="eastAsia" w:hAnsi="宋体" w:cs="宋体"/>
          <w:color w:val="auto"/>
          <w:highlight w:val="none"/>
          <w:lang w:val="en-US" w:eastAsia="zh-CN"/>
        </w:rPr>
        <w:t>方承诺同意本项目合同的计价、计量及结算方式，并严格依照施工图纸及</w:t>
      </w:r>
      <w:r>
        <w:rPr>
          <w:rFonts w:hint="eastAsia" w:hAnsi="宋体" w:cs="宋体"/>
          <w:color w:val="auto"/>
          <w:highlight w:val="none"/>
        </w:rPr>
        <w:t>合同约定实施和完成承包工程，修补工程中的任何缺陷。</w:t>
      </w:r>
    </w:p>
    <w:p w14:paraId="687E7D0F">
      <w:pPr>
        <w:spacing w:line="360" w:lineRule="auto"/>
        <w:ind w:firstLine="420" w:firstLineChars="200"/>
        <w:rPr>
          <w:rFonts w:hint="eastAsia" w:ascii="Times New Roman" w:hAnsi="Times New Roman" w:cs="Times New Roman"/>
          <w:szCs w:val="21"/>
          <w:highlight w:val="none"/>
          <w:lang w:val="en-US" w:eastAsia="zh-CN"/>
        </w:rPr>
      </w:pPr>
      <w:r>
        <w:rPr>
          <w:rFonts w:hint="eastAsia" w:ascii="Times New Roman" w:hAnsi="Times New Roman" w:cs="Times New Roman"/>
          <w:color w:val="000000"/>
          <w:kern w:val="0"/>
          <w:szCs w:val="21"/>
          <w:highlight w:val="none"/>
          <w:lang w:val="en-US" w:eastAsia="zh-CN"/>
        </w:rPr>
        <w:t>3.</w:t>
      </w:r>
      <w:r>
        <w:rPr>
          <w:rFonts w:hint="eastAsia" w:ascii="Times New Roman" w:hAnsi="Times New Roman" w:cs="Times New Roman"/>
          <w:color w:val="000000"/>
          <w:kern w:val="0"/>
          <w:szCs w:val="21"/>
          <w:highlight w:val="none"/>
        </w:rPr>
        <w:t>并承诺</w:t>
      </w:r>
      <w:r>
        <w:rPr>
          <w:rFonts w:cs="Times New Roman"/>
          <w:color w:val="000000"/>
          <w:kern w:val="0"/>
          <w:szCs w:val="21"/>
          <w:highlight w:val="none"/>
        </w:rPr>
        <w:t>自开工通知发出之日起</w:t>
      </w:r>
      <w:r>
        <w:rPr>
          <w:rFonts w:hint="eastAsia" w:cs="Times New Roman"/>
          <w:color w:val="000000"/>
          <w:kern w:val="0"/>
          <w:szCs w:val="21"/>
          <w:highlight w:val="none"/>
          <w:u w:val="single"/>
          <w:lang w:val="en-US" w:eastAsia="zh-CN"/>
        </w:rPr>
        <w:t xml:space="preserve">   </w:t>
      </w:r>
      <w:r>
        <w:rPr>
          <w:rFonts w:cs="Times New Roman"/>
          <w:color w:val="000000"/>
          <w:kern w:val="0"/>
          <w:szCs w:val="21"/>
          <w:highlight w:val="none"/>
        </w:rPr>
        <w:t>日历天</w:t>
      </w:r>
      <w:r>
        <w:rPr>
          <w:rFonts w:hint="eastAsia" w:ascii="Times New Roman" w:hAnsi="Times New Roman" w:cs="Times New Roman"/>
          <w:color w:val="000000"/>
          <w:kern w:val="0"/>
          <w:szCs w:val="21"/>
          <w:highlight w:val="none"/>
        </w:rPr>
        <w:t>完成比选文件比选公告中载明的比选范围所有工作</w:t>
      </w:r>
      <w:r>
        <w:rPr>
          <w:rFonts w:ascii="Times New Roman" w:hAnsi="Times New Roman" w:cs="Times New Roman"/>
          <w:szCs w:val="21"/>
          <w:highlight w:val="none"/>
        </w:rPr>
        <w:t>，修补工程中的任何缺陷</w:t>
      </w:r>
      <w:r>
        <w:rPr>
          <w:rFonts w:hint="eastAsia" w:ascii="Times New Roman" w:hAnsi="Times New Roman" w:cs="Times New Roman"/>
          <w:szCs w:val="21"/>
          <w:highlight w:val="none"/>
        </w:rPr>
        <w:t>直至</w:t>
      </w:r>
      <w:r>
        <w:rPr>
          <w:rFonts w:cs="Times New Roman"/>
          <w:color w:val="000000"/>
          <w:kern w:val="0"/>
          <w:szCs w:val="21"/>
          <w:highlight w:val="none"/>
        </w:rPr>
        <w:t>验收合格</w:t>
      </w:r>
      <w:r>
        <w:rPr>
          <w:rFonts w:ascii="Times New Roman" w:hAnsi="Times New Roman" w:cs="Times New Roman"/>
          <w:szCs w:val="21"/>
          <w:highlight w:val="none"/>
        </w:rPr>
        <w:t>。</w:t>
      </w:r>
    </w:p>
    <w:p w14:paraId="3F4FB01C">
      <w:pPr>
        <w:spacing w:line="360" w:lineRule="auto"/>
        <w:ind w:firstLine="420" w:firstLineChars="200"/>
        <w:rPr>
          <w:rFonts w:ascii="Times New Roman" w:hAnsi="Times New Roman" w:cs="Times New Roman"/>
          <w:szCs w:val="21"/>
          <w:highlight w:val="none"/>
        </w:rPr>
      </w:pPr>
      <w:r>
        <w:rPr>
          <w:rFonts w:hint="eastAsia" w:ascii="Times New Roman" w:hAnsi="Times New Roman" w:cs="Times New Roman"/>
          <w:szCs w:val="21"/>
          <w:highlight w:val="none"/>
          <w:lang w:val="en-US" w:eastAsia="zh-CN"/>
        </w:rPr>
        <w:t>4.</w:t>
      </w:r>
      <w:r>
        <w:rPr>
          <w:rFonts w:ascii="Times New Roman" w:hAnsi="Times New Roman" w:cs="Times New Roman"/>
          <w:szCs w:val="21"/>
          <w:highlight w:val="none"/>
        </w:rPr>
        <w:t>我方承诺在</w:t>
      </w:r>
      <w:r>
        <w:rPr>
          <w:rFonts w:hint="eastAsia" w:ascii="Times New Roman" w:hAnsi="Times New Roman" w:cs="Times New Roman"/>
          <w:szCs w:val="21"/>
          <w:highlight w:val="none"/>
        </w:rPr>
        <w:t>比选申请</w:t>
      </w:r>
      <w:r>
        <w:rPr>
          <w:rFonts w:ascii="Times New Roman" w:hAnsi="Times New Roman" w:cs="Times New Roman"/>
          <w:szCs w:val="21"/>
          <w:highlight w:val="none"/>
        </w:rPr>
        <w:t>有效期内不修改、撤销</w:t>
      </w:r>
      <w:r>
        <w:rPr>
          <w:rFonts w:hint="eastAsia" w:ascii="Times New Roman" w:hAnsi="Times New Roman" w:cs="Times New Roman"/>
          <w:szCs w:val="21"/>
          <w:highlight w:val="none"/>
        </w:rPr>
        <w:t>比选申请文件</w:t>
      </w:r>
      <w:r>
        <w:rPr>
          <w:rFonts w:ascii="Times New Roman" w:hAnsi="Times New Roman" w:cs="Times New Roman"/>
          <w:szCs w:val="21"/>
          <w:highlight w:val="none"/>
        </w:rPr>
        <w:t>。</w:t>
      </w:r>
    </w:p>
    <w:p w14:paraId="2E72B671">
      <w:pPr>
        <w:spacing w:line="360" w:lineRule="auto"/>
        <w:ind w:firstLine="420" w:firstLineChars="200"/>
        <w:rPr>
          <w:rFonts w:ascii="Times New Roman" w:hAnsi="Times New Roman" w:cs="Times New Roman"/>
          <w:szCs w:val="21"/>
          <w:highlight w:val="none"/>
        </w:rPr>
      </w:pPr>
      <w:r>
        <w:rPr>
          <w:rFonts w:hint="eastAsia" w:ascii="Times New Roman" w:hAnsi="Times New Roman" w:cs="Times New Roman"/>
          <w:szCs w:val="21"/>
          <w:highlight w:val="none"/>
          <w:lang w:val="en-US" w:eastAsia="zh-CN"/>
        </w:rPr>
        <w:t>5.</w:t>
      </w:r>
      <w:r>
        <w:rPr>
          <w:rFonts w:ascii="Times New Roman" w:hAnsi="Times New Roman" w:cs="Times New Roman"/>
          <w:szCs w:val="21"/>
          <w:highlight w:val="none"/>
        </w:rPr>
        <w:t>如我方</w:t>
      </w:r>
      <w:r>
        <w:rPr>
          <w:rFonts w:hint="eastAsia" w:ascii="Times New Roman" w:hAnsi="Times New Roman" w:cs="Times New Roman"/>
          <w:szCs w:val="21"/>
          <w:highlight w:val="none"/>
        </w:rPr>
        <w:t>中选</w:t>
      </w:r>
      <w:r>
        <w:rPr>
          <w:rFonts w:ascii="Times New Roman" w:hAnsi="Times New Roman" w:cs="Times New Roman"/>
          <w:szCs w:val="21"/>
          <w:highlight w:val="none"/>
        </w:rPr>
        <w:t>：</w:t>
      </w:r>
    </w:p>
    <w:p w14:paraId="4F60AE5F">
      <w:pPr>
        <w:spacing w:line="360" w:lineRule="auto"/>
        <w:ind w:firstLine="420" w:firstLineChars="200"/>
        <w:rPr>
          <w:rFonts w:ascii="Times New Roman" w:hAnsi="Times New Roman" w:cs="Times New Roman"/>
          <w:szCs w:val="21"/>
          <w:highlight w:val="none"/>
        </w:rPr>
      </w:pPr>
      <w:r>
        <w:rPr>
          <w:rFonts w:ascii="Times New Roman" w:hAnsi="Times New Roman" w:cs="Times New Roman"/>
          <w:szCs w:val="21"/>
          <w:highlight w:val="none"/>
        </w:rPr>
        <w:t>（l）我方承诺在收到</w:t>
      </w:r>
      <w:r>
        <w:rPr>
          <w:rFonts w:hint="eastAsia" w:ascii="Times New Roman" w:hAnsi="Times New Roman" w:cs="Times New Roman"/>
          <w:szCs w:val="21"/>
          <w:highlight w:val="none"/>
        </w:rPr>
        <w:t>中选</w:t>
      </w:r>
      <w:r>
        <w:rPr>
          <w:rFonts w:ascii="Times New Roman" w:hAnsi="Times New Roman" w:cs="Times New Roman"/>
          <w:szCs w:val="21"/>
          <w:highlight w:val="none"/>
        </w:rPr>
        <w:t>通知书后，在</w:t>
      </w:r>
      <w:r>
        <w:rPr>
          <w:rFonts w:hint="eastAsia" w:ascii="Times New Roman" w:hAnsi="Times New Roman" w:cs="Times New Roman"/>
          <w:szCs w:val="21"/>
          <w:highlight w:val="none"/>
        </w:rPr>
        <w:t>中选</w:t>
      </w:r>
      <w:r>
        <w:rPr>
          <w:rFonts w:ascii="Times New Roman" w:hAnsi="Times New Roman" w:cs="Times New Roman"/>
          <w:szCs w:val="21"/>
          <w:highlight w:val="none"/>
        </w:rPr>
        <w:t>通知书规定的期限内与你方签订合同。</w:t>
      </w:r>
    </w:p>
    <w:p w14:paraId="77A3840D">
      <w:pPr>
        <w:spacing w:line="360" w:lineRule="auto"/>
        <w:ind w:firstLine="420" w:firstLineChars="200"/>
        <w:rPr>
          <w:rFonts w:ascii="Times New Roman" w:hAnsi="Times New Roman" w:cs="Times New Roman"/>
          <w:szCs w:val="21"/>
          <w:highlight w:val="none"/>
        </w:rPr>
      </w:pPr>
      <w:r>
        <w:rPr>
          <w:rFonts w:ascii="Times New Roman" w:hAnsi="Times New Roman" w:cs="Times New Roman"/>
          <w:szCs w:val="21"/>
          <w:highlight w:val="none"/>
        </w:rPr>
        <w:t>（2）随同本</w:t>
      </w:r>
      <w:r>
        <w:rPr>
          <w:rFonts w:hint="eastAsia" w:ascii="Times New Roman" w:hAnsi="Times New Roman" w:cs="Times New Roman"/>
          <w:szCs w:val="21"/>
          <w:highlight w:val="none"/>
        </w:rPr>
        <w:t>比选申请</w:t>
      </w:r>
      <w:r>
        <w:rPr>
          <w:rFonts w:ascii="Times New Roman" w:hAnsi="Times New Roman" w:cs="Times New Roman"/>
          <w:szCs w:val="21"/>
          <w:highlight w:val="none"/>
        </w:rPr>
        <w:t>函递交的</w:t>
      </w:r>
      <w:r>
        <w:rPr>
          <w:rFonts w:hint="eastAsia" w:ascii="Times New Roman" w:hAnsi="Times New Roman" w:cs="Times New Roman"/>
          <w:szCs w:val="21"/>
          <w:highlight w:val="none"/>
        </w:rPr>
        <w:t>比选申请</w:t>
      </w:r>
      <w:r>
        <w:rPr>
          <w:rFonts w:ascii="Times New Roman" w:hAnsi="Times New Roman" w:cs="Times New Roman"/>
          <w:szCs w:val="21"/>
          <w:highlight w:val="none"/>
        </w:rPr>
        <w:t>函附录属于合同文件的组成部分。</w:t>
      </w:r>
    </w:p>
    <w:p w14:paraId="6BC9F30D">
      <w:pPr>
        <w:spacing w:line="360" w:lineRule="auto"/>
        <w:ind w:firstLine="420" w:firstLineChars="200"/>
        <w:rPr>
          <w:rFonts w:ascii="Times New Roman" w:hAnsi="Times New Roman" w:cs="Times New Roman"/>
          <w:szCs w:val="21"/>
          <w:highlight w:val="none"/>
        </w:rPr>
      </w:pPr>
      <w:r>
        <w:rPr>
          <w:rFonts w:ascii="Times New Roman" w:hAnsi="Times New Roman" w:cs="Times New Roman"/>
          <w:szCs w:val="21"/>
          <w:highlight w:val="none"/>
        </w:rPr>
        <w:t>（</w:t>
      </w:r>
      <w:r>
        <w:rPr>
          <w:rFonts w:hint="eastAsia" w:ascii="Times New Roman" w:hAnsi="Times New Roman" w:cs="Times New Roman"/>
          <w:szCs w:val="21"/>
          <w:highlight w:val="none"/>
        </w:rPr>
        <w:t>3</w:t>
      </w:r>
      <w:r>
        <w:rPr>
          <w:rFonts w:ascii="Times New Roman" w:hAnsi="Times New Roman" w:cs="Times New Roman"/>
          <w:szCs w:val="21"/>
          <w:highlight w:val="none"/>
        </w:rPr>
        <w:t>）我方承诺按照</w:t>
      </w:r>
      <w:r>
        <w:rPr>
          <w:rFonts w:hint="eastAsia" w:ascii="Times New Roman" w:hAnsi="Times New Roman" w:cs="Times New Roman"/>
          <w:szCs w:val="21"/>
          <w:highlight w:val="none"/>
        </w:rPr>
        <w:t>比选</w:t>
      </w:r>
      <w:r>
        <w:rPr>
          <w:rFonts w:ascii="Times New Roman" w:hAnsi="Times New Roman" w:cs="Times New Roman"/>
          <w:szCs w:val="21"/>
          <w:highlight w:val="none"/>
        </w:rPr>
        <w:t>文件规定向你方递交履约担保。</w:t>
      </w:r>
    </w:p>
    <w:p w14:paraId="32091519">
      <w:pPr>
        <w:spacing w:line="360" w:lineRule="auto"/>
        <w:ind w:firstLine="420" w:firstLineChars="200"/>
        <w:rPr>
          <w:rFonts w:ascii="Times New Roman" w:hAnsi="Times New Roman" w:cs="Times New Roman"/>
          <w:szCs w:val="21"/>
          <w:highlight w:val="none"/>
        </w:rPr>
      </w:pPr>
      <w:r>
        <w:rPr>
          <w:rFonts w:hint="eastAsia" w:ascii="Times New Roman" w:hAnsi="Times New Roman" w:cs="Times New Roman"/>
          <w:szCs w:val="21"/>
          <w:highlight w:val="none"/>
        </w:rPr>
        <w:t>（4）</w:t>
      </w:r>
      <w:r>
        <w:rPr>
          <w:rFonts w:ascii="Times New Roman" w:hAnsi="Times New Roman" w:cs="Times New Roman"/>
          <w:szCs w:val="21"/>
          <w:highlight w:val="none"/>
        </w:rPr>
        <w:t>我方承诺在合同约定的期限内完成并移交全部合同工程。</w:t>
      </w:r>
    </w:p>
    <w:p w14:paraId="2AC0677D">
      <w:pPr>
        <w:spacing w:line="360" w:lineRule="auto"/>
        <w:ind w:firstLine="420" w:firstLineChars="200"/>
        <w:rPr>
          <w:rFonts w:ascii="Times New Roman" w:hAnsi="Times New Roman" w:cs="Times New Roman"/>
          <w:szCs w:val="21"/>
          <w:highlight w:val="none"/>
        </w:rPr>
      </w:pPr>
      <w:r>
        <w:rPr>
          <w:rFonts w:ascii="Times New Roman" w:hAnsi="Times New Roman" w:cs="Times New Roman"/>
          <w:szCs w:val="21"/>
          <w:highlight w:val="none"/>
        </w:rPr>
        <w:t>（</w:t>
      </w:r>
      <w:r>
        <w:rPr>
          <w:rFonts w:hint="eastAsia" w:ascii="Times New Roman" w:hAnsi="Times New Roman" w:cs="Times New Roman"/>
          <w:szCs w:val="21"/>
          <w:highlight w:val="none"/>
        </w:rPr>
        <w:t>5</w:t>
      </w:r>
      <w:r>
        <w:rPr>
          <w:rFonts w:ascii="Times New Roman" w:hAnsi="Times New Roman" w:cs="Times New Roman"/>
          <w:szCs w:val="21"/>
          <w:highlight w:val="none"/>
        </w:rPr>
        <w:t>）我方承诺在</w:t>
      </w:r>
      <w:r>
        <w:rPr>
          <w:rFonts w:hint="eastAsia" w:ascii="Times New Roman" w:hAnsi="Times New Roman" w:cs="Times New Roman"/>
          <w:szCs w:val="21"/>
          <w:highlight w:val="none"/>
        </w:rPr>
        <w:t>比选申请</w:t>
      </w:r>
      <w:r>
        <w:rPr>
          <w:rFonts w:ascii="Times New Roman" w:hAnsi="Times New Roman" w:cs="Times New Roman"/>
          <w:szCs w:val="21"/>
          <w:highlight w:val="none"/>
        </w:rPr>
        <w:t>报价中已充分考虑了该工程的特点及</w:t>
      </w:r>
      <w:r>
        <w:rPr>
          <w:rFonts w:hint="eastAsia" w:ascii="Times New Roman" w:hAnsi="Times New Roman" w:cs="Times New Roman"/>
          <w:szCs w:val="21"/>
          <w:highlight w:val="none"/>
        </w:rPr>
        <w:t>比选人</w:t>
      </w:r>
      <w:r>
        <w:rPr>
          <w:rFonts w:ascii="Times New Roman" w:hAnsi="Times New Roman" w:cs="Times New Roman"/>
          <w:szCs w:val="21"/>
          <w:highlight w:val="none"/>
        </w:rPr>
        <w:t>对该工程的管理要求并已将上述因素综合计入</w:t>
      </w:r>
      <w:r>
        <w:rPr>
          <w:rFonts w:hint="eastAsia" w:ascii="Times New Roman" w:hAnsi="Times New Roman" w:cs="Times New Roman"/>
          <w:szCs w:val="21"/>
          <w:highlight w:val="none"/>
        </w:rPr>
        <w:t>比选申请</w:t>
      </w:r>
      <w:r>
        <w:rPr>
          <w:rFonts w:ascii="Times New Roman" w:hAnsi="Times New Roman" w:cs="Times New Roman"/>
          <w:szCs w:val="21"/>
          <w:highlight w:val="none"/>
        </w:rPr>
        <w:t>报价中。</w:t>
      </w:r>
    </w:p>
    <w:p w14:paraId="4FFC8D67">
      <w:pPr>
        <w:spacing w:line="360" w:lineRule="auto"/>
        <w:ind w:firstLine="420" w:firstLineChars="200"/>
        <w:rPr>
          <w:rFonts w:ascii="Times New Roman" w:hAnsi="Times New Roman" w:cs="Times New Roman"/>
          <w:szCs w:val="21"/>
          <w:highlight w:val="none"/>
        </w:rPr>
      </w:pPr>
      <w:r>
        <w:rPr>
          <w:rFonts w:hint="eastAsia" w:ascii="Times New Roman" w:hAnsi="Times New Roman" w:cs="Times New Roman"/>
          <w:szCs w:val="21"/>
          <w:highlight w:val="none"/>
          <w:lang w:val="en-US" w:eastAsia="zh-CN"/>
        </w:rPr>
        <w:t>6.</w:t>
      </w:r>
      <w:r>
        <w:rPr>
          <w:rFonts w:ascii="Times New Roman" w:hAnsi="Times New Roman" w:cs="Times New Roman"/>
          <w:szCs w:val="21"/>
          <w:highlight w:val="none"/>
          <w:u w:val="single"/>
        </w:rPr>
        <w:t xml:space="preserve">                  </w:t>
      </w:r>
      <w:r>
        <w:rPr>
          <w:rFonts w:ascii="Times New Roman" w:hAnsi="Times New Roman" w:cs="Times New Roman"/>
          <w:color w:val="000000"/>
          <w:szCs w:val="21"/>
          <w:highlight w:val="none"/>
        </w:rPr>
        <w:t>（其他补充说明）。</w:t>
      </w:r>
    </w:p>
    <w:p w14:paraId="0A88FE0E">
      <w:pPr>
        <w:wordWrap w:val="0"/>
        <w:spacing w:line="360" w:lineRule="auto"/>
        <w:ind w:firstLine="420" w:firstLineChars="200"/>
        <w:jc w:val="right"/>
        <w:rPr>
          <w:rFonts w:ascii="Times New Roman" w:hAnsi="Times New Roman" w:cs="Times New Roman"/>
          <w:color w:val="000000"/>
          <w:szCs w:val="21"/>
          <w:highlight w:val="none"/>
        </w:rPr>
      </w:pPr>
    </w:p>
    <w:p w14:paraId="0024E170">
      <w:pPr>
        <w:wordWrap w:val="0"/>
        <w:spacing w:line="360" w:lineRule="auto"/>
        <w:ind w:firstLine="420" w:firstLineChars="200"/>
        <w:jc w:val="right"/>
        <w:rPr>
          <w:rFonts w:ascii="Times New Roman" w:hAnsi="Times New Roman" w:cs="Times New Roman"/>
          <w:color w:val="000000"/>
          <w:szCs w:val="21"/>
          <w:highlight w:val="none"/>
        </w:rPr>
      </w:pPr>
    </w:p>
    <w:p w14:paraId="15FEF83C">
      <w:pPr>
        <w:wordWrap w:val="0"/>
        <w:spacing w:line="360" w:lineRule="auto"/>
        <w:ind w:firstLine="420" w:firstLineChars="200"/>
        <w:jc w:val="right"/>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比选申请人名称</w:t>
      </w:r>
      <w:r>
        <w:rPr>
          <w:rFonts w:ascii="Times New Roman" w:hAnsi="Times New Roman" w:cs="Times New Roman"/>
          <w:color w:val="000000"/>
          <w:szCs w:val="21"/>
          <w:highlight w:val="none"/>
        </w:rPr>
        <w:t>：</w:t>
      </w:r>
      <w:r>
        <w:rPr>
          <w:rFonts w:ascii="Times New Roman" w:hAnsi="Times New Roman" w:cs="Times New Roman"/>
          <w:szCs w:val="21"/>
          <w:highlight w:val="none"/>
          <w:u w:val="single"/>
        </w:rPr>
        <w:t xml:space="preserve">                </w:t>
      </w:r>
      <w:r>
        <w:rPr>
          <w:rFonts w:ascii="Times New Roman" w:hAnsi="Times New Roman" w:cs="Times New Roman"/>
          <w:color w:val="000000"/>
          <w:szCs w:val="21"/>
          <w:highlight w:val="none"/>
        </w:rPr>
        <w:t>（盖单位章）</w:t>
      </w:r>
    </w:p>
    <w:p w14:paraId="1F898E3B">
      <w:pPr>
        <w:spacing w:line="360" w:lineRule="auto"/>
        <w:ind w:firstLine="420" w:firstLineChars="200"/>
        <w:jc w:val="right"/>
        <w:rPr>
          <w:rFonts w:ascii="Times New Roman" w:hAnsi="Times New Roman" w:cs="Times New Roman"/>
          <w:color w:val="000000"/>
          <w:szCs w:val="21"/>
          <w:highlight w:val="none"/>
        </w:rPr>
      </w:pPr>
      <w:r>
        <w:rPr>
          <w:rFonts w:ascii="Times New Roman" w:hAnsi="Times New Roman" w:cs="Times New Roman"/>
          <w:color w:val="000000"/>
          <w:szCs w:val="21"/>
          <w:highlight w:val="none"/>
        </w:rPr>
        <w:t>法定代表人</w:t>
      </w:r>
      <w:r>
        <w:rPr>
          <w:rFonts w:ascii="Times New Roman" w:hAnsi="Times New Roman" w:cs="Times New Roman"/>
          <w:szCs w:val="21"/>
          <w:highlight w:val="none"/>
        </w:rPr>
        <w:t>或其委托代理人：</w:t>
      </w:r>
      <w:r>
        <w:rPr>
          <w:rFonts w:ascii="Times New Roman" w:hAnsi="Times New Roman" w:cs="Times New Roman"/>
          <w:szCs w:val="21"/>
          <w:highlight w:val="none"/>
          <w:u w:val="single"/>
        </w:rPr>
        <w:t xml:space="preserve">    </w:t>
      </w:r>
      <w:r>
        <w:rPr>
          <w:rFonts w:hint="eastAsia" w:ascii="Times New Roman" w:hAnsi="Times New Roman" w:cs="Times New Roman"/>
          <w:szCs w:val="21"/>
          <w:highlight w:val="none"/>
          <w:u w:val="single"/>
        </w:rPr>
        <w:t xml:space="preserve">   </w:t>
      </w:r>
      <w:r>
        <w:rPr>
          <w:rFonts w:ascii="Times New Roman" w:hAnsi="Times New Roman" w:cs="Times New Roman"/>
          <w:szCs w:val="21"/>
          <w:highlight w:val="none"/>
          <w:u w:val="single"/>
        </w:rPr>
        <w:t xml:space="preserve">     </w:t>
      </w:r>
      <w:r>
        <w:rPr>
          <w:rFonts w:ascii="Times New Roman" w:hAnsi="Times New Roman" w:cs="Times New Roman"/>
          <w:szCs w:val="21"/>
          <w:highlight w:val="none"/>
        </w:rPr>
        <w:t xml:space="preserve"> (签字</w:t>
      </w:r>
      <w:r>
        <w:rPr>
          <w:rFonts w:ascii="Times New Roman" w:hAnsi="Times New Roman" w:cs="Times New Roman"/>
          <w:color w:val="000000"/>
          <w:szCs w:val="21"/>
          <w:highlight w:val="none"/>
        </w:rPr>
        <w:t>）</w:t>
      </w:r>
    </w:p>
    <w:p w14:paraId="771DD3F4">
      <w:pPr>
        <w:spacing w:line="360" w:lineRule="auto"/>
        <w:ind w:firstLine="420" w:firstLineChars="200"/>
        <w:jc w:val="right"/>
        <w:rPr>
          <w:rFonts w:ascii="Times New Roman" w:hAnsi="Times New Roman" w:cs="Times New Roman"/>
          <w:szCs w:val="21"/>
          <w:highlight w:val="none"/>
        </w:rPr>
      </w:pPr>
      <w:r>
        <w:rPr>
          <w:rFonts w:ascii="Times New Roman" w:hAnsi="Times New Roman" w:cs="Times New Roman"/>
          <w:szCs w:val="21"/>
          <w:highlight w:val="none"/>
          <w:u w:val="single"/>
        </w:rPr>
        <w:t xml:space="preserve">    </w:t>
      </w:r>
      <w:r>
        <w:rPr>
          <w:rFonts w:ascii="Times New Roman" w:hAnsi="Times New Roman" w:cs="Times New Roman"/>
          <w:color w:val="000000"/>
          <w:szCs w:val="21"/>
          <w:highlight w:val="none"/>
        </w:rPr>
        <w:t>年</w:t>
      </w:r>
      <w:r>
        <w:rPr>
          <w:rFonts w:ascii="Times New Roman" w:hAnsi="Times New Roman" w:cs="Times New Roman"/>
          <w:szCs w:val="21"/>
          <w:highlight w:val="none"/>
          <w:u w:val="single"/>
        </w:rPr>
        <w:t xml:space="preserve">   </w:t>
      </w:r>
      <w:r>
        <w:rPr>
          <w:rFonts w:ascii="Times New Roman" w:hAnsi="Times New Roman" w:cs="Times New Roman"/>
          <w:color w:val="000000"/>
          <w:szCs w:val="21"/>
          <w:highlight w:val="none"/>
        </w:rPr>
        <w:t>月</w:t>
      </w:r>
      <w:r>
        <w:rPr>
          <w:rFonts w:ascii="Times New Roman" w:hAnsi="Times New Roman" w:cs="Times New Roman"/>
          <w:szCs w:val="21"/>
          <w:highlight w:val="none"/>
          <w:u w:val="single"/>
        </w:rPr>
        <w:t xml:space="preserve">    </w:t>
      </w:r>
      <w:r>
        <w:rPr>
          <w:rFonts w:ascii="Times New Roman" w:hAnsi="Times New Roman" w:cs="Times New Roman"/>
          <w:color w:val="000000"/>
          <w:szCs w:val="21"/>
          <w:highlight w:val="none"/>
        </w:rPr>
        <w:t>日</w:t>
      </w:r>
    </w:p>
    <w:p w14:paraId="20B7AAAD">
      <w:pPr>
        <w:spacing w:line="360" w:lineRule="auto"/>
        <w:ind w:firstLine="420" w:firstLineChars="200"/>
        <w:jc w:val="left"/>
        <w:rPr>
          <w:rFonts w:ascii="Times New Roman" w:hAnsi="Times New Roman" w:cs="Times New Roman"/>
          <w:szCs w:val="21"/>
          <w:highlight w:val="none"/>
        </w:rPr>
      </w:pPr>
    </w:p>
    <w:p w14:paraId="69C59227">
      <w:pPr>
        <w:pStyle w:val="5"/>
        <w:jc w:val="center"/>
        <w:rPr>
          <w:rFonts w:ascii="Times New Roman" w:hAnsi="Times New Roman"/>
          <w:color w:val="000000"/>
          <w:sz w:val="28"/>
          <w:highlight w:val="none"/>
        </w:rPr>
      </w:pPr>
      <w:r>
        <w:rPr>
          <w:rFonts w:ascii="Times New Roman" w:hAnsi="Times New Roman"/>
          <w:color w:val="000000"/>
          <w:highlight w:val="none"/>
        </w:rPr>
        <w:br w:type="page"/>
      </w:r>
      <w:r>
        <w:rPr>
          <w:rFonts w:ascii="Times New Roman" w:hAnsi="Times New Roman"/>
          <w:color w:val="000000"/>
          <w:sz w:val="28"/>
          <w:highlight w:val="none"/>
        </w:rPr>
        <w:t>(二)</w:t>
      </w:r>
      <w:r>
        <w:rPr>
          <w:rFonts w:hint="eastAsia" w:ascii="Times New Roman" w:hAnsi="Times New Roman"/>
          <w:color w:val="000000"/>
          <w:sz w:val="28"/>
          <w:highlight w:val="none"/>
        </w:rPr>
        <w:t>比选申请文件</w:t>
      </w:r>
      <w:r>
        <w:rPr>
          <w:rFonts w:ascii="Times New Roman" w:hAnsi="Times New Roman"/>
          <w:color w:val="000000"/>
          <w:sz w:val="28"/>
          <w:highlight w:val="none"/>
        </w:rPr>
        <w:t>真实性和不存在限制</w:t>
      </w:r>
      <w:r>
        <w:rPr>
          <w:rFonts w:hint="eastAsia" w:ascii="Times New Roman" w:hAnsi="Times New Roman"/>
          <w:color w:val="000000"/>
          <w:sz w:val="28"/>
          <w:highlight w:val="none"/>
        </w:rPr>
        <w:t>比选申请的</w:t>
      </w:r>
      <w:r>
        <w:rPr>
          <w:rFonts w:ascii="Times New Roman" w:hAnsi="Times New Roman"/>
          <w:color w:val="000000"/>
          <w:sz w:val="28"/>
          <w:highlight w:val="none"/>
        </w:rPr>
        <w:t>情形声明</w:t>
      </w:r>
    </w:p>
    <w:p w14:paraId="53902ACF">
      <w:pPr>
        <w:spacing w:line="360" w:lineRule="auto"/>
        <w:ind w:left="359" w:leftChars="171"/>
        <w:rPr>
          <w:rFonts w:ascii="Times New Roman" w:hAnsi="Times New Roman" w:cs="Times New Roman"/>
          <w:color w:val="000000"/>
          <w:highlight w:val="none"/>
          <w:u w:val="single"/>
        </w:rPr>
      </w:pPr>
    </w:p>
    <w:p w14:paraId="77E93CDD">
      <w:pPr>
        <w:spacing w:line="360" w:lineRule="auto"/>
        <w:ind w:left="359" w:leftChars="171"/>
        <w:rPr>
          <w:rFonts w:ascii="Times New Roman" w:hAnsi="Times New Roman" w:cs="Times New Roman"/>
          <w:color w:val="000000"/>
          <w:highlight w:val="none"/>
        </w:rPr>
      </w:pPr>
      <w:r>
        <w:rPr>
          <w:rFonts w:ascii="Times New Roman" w:hAnsi="Times New Roman" w:cs="Times New Roman"/>
          <w:color w:val="000000"/>
          <w:highlight w:val="none"/>
        </w:rPr>
        <w:t>____________________（</w:t>
      </w:r>
      <w:r>
        <w:rPr>
          <w:rFonts w:hint="eastAsia" w:ascii="Times New Roman" w:hAnsi="Times New Roman" w:cs="Times New Roman"/>
          <w:color w:val="000000"/>
          <w:highlight w:val="none"/>
        </w:rPr>
        <w:t>比选人</w:t>
      </w:r>
      <w:r>
        <w:rPr>
          <w:rFonts w:ascii="Times New Roman" w:hAnsi="Times New Roman" w:cs="Times New Roman"/>
          <w:color w:val="000000"/>
          <w:highlight w:val="none"/>
        </w:rPr>
        <w:t>名称）：</w:t>
      </w:r>
    </w:p>
    <w:p w14:paraId="605E95EC">
      <w:pPr>
        <w:spacing w:line="360" w:lineRule="auto"/>
        <w:ind w:left="359" w:leftChars="171" w:firstLine="435"/>
        <w:rPr>
          <w:rFonts w:ascii="Times New Roman" w:hAnsi="Times New Roman" w:cs="Times New Roman"/>
          <w:color w:val="000000"/>
          <w:highlight w:val="none"/>
        </w:rPr>
      </w:pPr>
      <w:r>
        <w:rPr>
          <w:rFonts w:ascii="Times New Roman" w:hAnsi="Times New Roman" w:cs="Times New Roman"/>
          <w:color w:val="000000"/>
          <w:highlight w:val="none"/>
        </w:rPr>
        <w:t>我方在此声明，所递交的</w:t>
      </w:r>
      <w:r>
        <w:rPr>
          <w:rFonts w:hint="eastAsia" w:ascii="Times New Roman" w:hAnsi="Times New Roman" w:cs="Times New Roman"/>
          <w:color w:val="000000"/>
          <w:highlight w:val="none"/>
        </w:rPr>
        <w:t>比选申请文件</w:t>
      </w:r>
      <w:r>
        <w:rPr>
          <w:rFonts w:ascii="Times New Roman" w:hAnsi="Times New Roman" w:cs="Times New Roman"/>
          <w:color w:val="000000"/>
          <w:highlight w:val="none"/>
        </w:rPr>
        <w:t>（包括有关资料、澄清）真实可信，不存在虚假（包括隐瞒）。</w:t>
      </w:r>
    </w:p>
    <w:p w14:paraId="357D807A">
      <w:pPr>
        <w:spacing w:line="360" w:lineRule="auto"/>
        <w:ind w:left="359" w:leftChars="171" w:firstLine="435"/>
        <w:rPr>
          <w:rFonts w:ascii="Times New Roman" w:hAnsi="Times New Roman" w:cs="Times New Roman"/>
          <w:color w:val="000000"/>
          <w:highlight w:val="none"/>
        </w:rPr>
      </w:pPr>
      <w:r>
        <w:rPr>
          <w:rFonts w:ascii="Times New Roman" w:hAnsi="Times New Roman" w:cs="Times New Roman"/>
          <w:color w:val="000000"/>
          <w:highlight w:val="none"/>
        </w:rPr>
        <w:t>经我方认真核查，本</w:t>
      </w:r>
      <w:r>
        <w:rPr>
          <w:rFonts w:hint="eastAsia" w:ascii="Times New Roman" w:hAnsi="Times New Roman" w:cs="Times New Roman"/>
          <w:color w:val="000000"/>
          <w:highlight w:val="none"/>
        </w:rPr>
        <w:t>比选申请人</w:t>
      </w:r>
      <w:r>
        <w:rPr>
          <w:rFonts w:ascii="Times New Roman" w:hAnsi="Times New Roman" w:cs="Times New Roman"/>
          <w:color w:val="000000"/>
          <w:highlight w:val="none"/>
        </w:rPr>
        <w:t>不存在</w:t>
      </w:r>
      <w:r>
        <w:rPr>
          <w:rFonts w:hint="eastAsia" w:ascii="Times New Roman" w:hAnsi="Times New Roman" w:cs="Times New Roman"/>
          <w:color w:val="000000"/>
          <w:highlight w:val="none"/>
        </w:rPr>
        <w:t>比选</w:t>
      </w:r>
      <w:r>
        <w:rPr>
          <w:rFonts w:ascii="Times New Roman" w:hAnsi="Times New Roman" w:cs="Times New Roman"/>
          <w:color w:val="000000"/>
          <w:highlight w:val="none"/>
        </w:rPr>
        <w:t>文件第二章“</w:t>
      </w:r>
      <w:r>
        <w:rPr>
          <w:rFonts w:hint="eastAsia" w:ascii="Times New Roman" w:hAnsi="Times New Roman" w:cs="Times New Roman"/>
          <w:color w:val="000000"/>
          <w:highlight w:val="none"/>
        </w:rPr>
        <w:t>比选申请人</w:t>
      </w:r>
      <w:r>
        <w:rPr>
          <w:rFonts w:ascii="Times New Roman" w:hAnsi="Times New Roman" w:cs="Times New Roman"/>
          <w:color w:val="000000"/>
          <w:highlight w:val="none"/>
        </w:rPr>
        <w:t>须知”前附表中第9项和第26项规定的任何一种情形。</w:t>
      </w:r>
    </w:p>
    <w:p w14:paraId="6E84D6DF">
      <w:pPr>
        <w:spacing w:line="360" w:lineRule="auto"/>
        <w:ind w:left="359" w:leftChars="171" w:firstLine="435"/>
        <w:rPr>
          <w:rFonts w:ascii="Times New Roman" w:hAnsi="Times New Roman" w:cs="Times New Roman"/>
          <w:color w:val="000000"/>
          <w:highlight w:val="none"/>
        </w:rPr>
      </w:pPr>
      <w:r>
        <w:rPr>
          <w:rFonts w:ascii="Times New Roman" w:hAnsi="Times New Roman" w:cs="Times New Roman"/>
          <w:color w:val="000000"/>
          <w:highlight w:val="none"/>
        </w:rPr>
        <w:t>我方承诺，如存在以上两项中虚假</w:t>
      </w:r>
      <w:r>
        <w:rPr>
          <w:rFonts w:hint="eastAsia" w:ascii="Times New Roman" w:hAnsi="Times New Roman" w:cs="Times New Roman"/>
          <w:color w:val="000000"/>
          <w:highlight w:val="none"/>
        </w:rPr>
        <w:t>比选申请</w:t>
      </w:r>
      <w:r>
        <w:rPr>
          <w:rFonts w:ascii="Times New Roman" w:hAnsi="Times New Roman" w:cs="Times New Roman"/>
          <w:color w:val="000000"/>
          <w:highlight w:val="none"/>
        </w:rPr>
        <w:t>行为，我方自愿按</w:t>
      </w:r>
      <w:r>
        <w:rPr>
          <w:rFonts w:hint="eastAsia" w:ascii="Times New Roman" w:hAnsi="Times New Roman" w:cs="Times New Roman"/>
          <w:color w:val="000000"/>
          <w:highlight w:val="none"/>
        </w:rPr>
        <w:t>比选</w:t>
      </w:r>
      <w:r>
        <w:rPr>
          <w:rFonts w:ascii="Times New Roman" w:hAnsi="Times New Roman" w:cs="Times New Roman"/>
          <w:color w:val="000000"/>
          <w:highlight w:val="none"/>
        </w:rPr>
        <w:t>文件第二章“</w:t>
      </w:r>
      <w:r>
        <w:rPr>
          <w:rFonts w:hint="eastAsia" w:ascii="Times New Roman" w:hAnsi="Times New Roman" w:cs="Times New Roman"/>
          <w:color w:val="000000"/>
          <w:highlight w:val="none"/>
        </w:rPr>
        <w:t>比选申请人</w:t>
      </w:r>
      <w:r>
        <w:rPr>
          <w:rFonts w:ascii="Times New Roman" w:hAnsi="Times New Roman" w:cs="Times New Roman"/>
          <w:color w:val="000000"/>
          <w:highlight w:val="none"/>
        </w:rPr>
        <w:t>须知”前附表第26项</w:t>
      </w:r>
      <w:r>
        <w:rPr>
          <w:rFonts w:hint="eastAsia" w:ascii="Times New Roman" w:hAnsi="Times New Roman" w:cs="Times New Roman"/>
          <w:color w:val="000000"/>
          <w:highlight w:val="none"/>
        </w:rPr>
        <w:t>比选申请文件</w:t>
      </w:r>
      <w:r>
        <w:rPr>
          <w:rFonts w:ascii="Times New Roman" w:hAnsi="Times New Roman" w:cs="Times New Roman"/>
          <w:color w:val="000000"/>
          <w:highlight w:val="none"/>
        </w:rPr>
        <w:t>的真实性要求和其他有关规定承担责任。</w:t>
      </w:r>
    </w:p>
    <w:p w14:paraId="52338815">
      <w:pPr>
        <w:spacing w:line="360" w:lineRule="auto"/>
        <w:jc w:val="center"/>
        <w:rPr>
          <w:rFonts w:ascii="Times New Roman" w:hAnsi="Times New Roman" w:cs="Times New Roman"/>
          <w:b/>
          <w:color w:val="000000"/>
          <w:sz w:val="24"/>
          <w:highlight w:val="none"/>
        </w:rPr>
      </w:pPr>
    </w:p>
    <w:p w14:paraId="4FEA4D70">
      <w:pPr>
        <w:spacing w:line="360" w:lineRule="auto"/>
        <w:jc w:val="center"/>
        <w:rPr>
          <w:rFonts w:ascii="Times New Roman" w:hAnsi="Times New Roman" w:cs="Times New Roman"/>
          <w:b/>
          <w:color w:val="000000"/>
          <w:sz w:val="24"/>
          <w:highlight w:val="none"/>
        </w:rPr>
      </w:pPr>
    </w:p>
    <w:p w14:paraId="76371FAC">
      <w:pPr>
        <w:spacing w:line="360" w:lineRule="auto"/>
        <w:jc w:val="center"/>
        <w:rPr>
          <w:rFonts w:ascii="Times New Roman" w:hAnsi="Times New Roman" w:cs="Times New Roman"/>
          <w:b/>
          <w:color w:val="000000"/>
          <w:sz w:val="24"/>
          <w:highlight w:val="none"/>
        </w:rPr>
      </w:pPr>
    </w:p>
    <w:p w14:paraId="4479E842">
      <w:pPr>
        <w:spacing w:line="360" w:lineRule="auto"/>
        <w:jc w:val="center"/>
        <w:rPr>
          <w:rFonts w:ascii="Times New Roman" w:hAnsi="Times New Roman" w:cs="Times New Roman"/>
          <w:b/>
          <w:color w:val="000000"/>
          <w:sz w:val="24"/>
          <w:highlight w:val="none"/>
        </w:rPr>
      </w:pPr>
    </w:p>
    <w:p w14:paraId="5FEBE0F3">
      <w:pPr>
        <w:spacing w:line="360" w:lineRule="auto"/>
        <w:jc w:val="center"/>
        <w:rPr>
          <w:rFonts w:ascii="Times New Roman" w:hAnsi="Times New Roman" w:cs="Times New Roman"/>
          <w:b/>
          <w:color w:val="000000"/>
          <w:sz w:val="24"/>
          <w:highlight w:val="none"/>
        </w:rPr>
      </w:pPr>
    </w:p>
    <w:p w14:paraId="6C593811">
      <w:pPr>
        <w:spacing w:line="360" w:lineRule="auto"/>
        <w:jc w:val="center"/>
        <w:rPr>
          <w:rFonts w:ascii="Times New Roman" w:hAnsi="Times New Roman" w:cs="Times New Roman"/>
          <w:b/>
          <w:color w:val="000000"/>
          <w:sz w:val="24"/>
          <w:highlight w:val="none"/>
        </w:rPr>
      </w:pPr>
    </w:p>
    <w:p w14:paraId="484A2AB8">
      <w:pPr>
        <w:spacing w:line="360" w:lineRule="auto"/>
        <w:jc w:val="center"/>
        <w:rPr>
          <w:rFonts w:ascii="Times New Roman" w:hAnsi="Times New Roman" w:cs="Times New Roman"/>
          <w:b/>
          <w:color w:val="000000"/>
          <w:sz w:val="24"/>
          <w:highlight w:val="none"/>
        </w:rPr>
      </w:pPr>
    </w:p>
    <w:p w14:paraId="0A8B3832">
      <w:pPr>
        <w:spacing w:line="360" w:lineRule="auto"/>
        <w:ind w:firstLine="3990" w:firstLineChars="1900"/>
        <w:jc w:val="right"/>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名称：______________(盖单位章)</w:t>
      </w:r>
    </w:p>
    <w:p w14:paraId="206F10A7">
      <w:pPr>
        <w:spacing w:line="360" w:lineRule="auto"/>
        <w:ind w:firstLine="3990" w:firstLineChars="1900"/>
        <w:jc w:val="right"/>
        <w:rPr>
          <w:rFonts w:ascii="Times New Roman" w:hAnsi="Times New Roman" w:cs="Times New Roman"/>
          <w:color w:val="000000"/>
          <w:szCs w:val="21"/>
          <w:highlight w:val="none"/>
        </w:rPr>
      </w:pPr>
      <w:r>
        <w:rPr>
          <w:rFonts w:ascii="Times New Roman" w:hAnsi="Times New Roman" w:cs="Times New Roman"/>
          <w:color w:val="000000"/>
          <w:szCs w:val="21"/>
          <w:highlight w:val="none"/>
        </w:rPr>
        <w:t>法定代表人或其委托代理人：_</w:t>
      </w:r>
      <w:r>
        <w:rPr>
          <w:rFonts w:ascii="Times New Roman" w:hAnsi="Times New Roman" w:cs="Times New Roman"/>
          <w:color w:val="000000"/>
          <w:szCs w:val="21"/>
          <w:highlight w:val="none"/>
          <w:u w:val="single"/>
        </w:rPr>
        <w:t>_</w:t>
      </w:r>
      <w:r>
        <w:rPr>
          <w:rFonts w:hint="eastAsia" w:ascii="Times New Roman" w:hAnsi="Times New Roman" w:cs="Times New Roman"/>
          <w:color w:val="000000"/>
          <w:szCs w:val="21"/>
          <w:highlight w:val="none"/>
          <w:u w:val="single"/>
        </w:rPr>
        <w:t xml:space="preserve">    </w:t>
      </w:r>
      <w:r>
        <w:rPr>
          <w:rFonts w:ascii="Times New Roman" w:hAnsi="Times New Roman" w:cs="Times New Roman"/>
          <w:color w:val="000000"/>
          <w:szCs w:val="21"/>
          <w:highlight w:val="none"/>
          <w:u w:val="single"/>
        </w:rPr>
        <w:t>__</w:t>
      </w:r>
      <w:r>
        <w:rPr>
          <w:rFonts w:ascii="Times New Roman" w:hAnsi="Times New Roman" w:cs="Times New Roman"/>
          <w:color w:val="000000"/>
          <w:szCs w:val="21"/>
          <w:highlight w:val="none"/>
        </w:rPr>
        <w:t>__(签字)</w:t>
      </w:r>
    </w:p>
    <w:p w14:paraId="4B671A3C">
      <w:pPr>
        <w:spacing w:line="360" w:lineRule="auto"/>
        <w:ind w:firstLine="5565" w:firstLineChars="2650"/>
        <w:jc w:val="right"/>
        <w:rPr>
          <w:rFonts w:ascii="Times New Roman" w:hAnsi="Times New Roman" w:cs="Times New Roman"/>
          <w:color w:val="000000"/>
          <w:szCs w:val="21"/>
          <w:highlight w:val="none"/>
        </w:rPr>
      </w:pPr>
      <w:r>
        <w:rPr>
          <w:rFonts w:ascii="Times New Roman" w:hAnsi="Times New Roman" w:cs="Times New Roman"/>
          <w:color w:val="000000"/>
          <w:szCs w:val="21"/>
          <w:highlight w:val="none"/>
        </w:rPr>
        <w:t>______年_____月_____日</w:t>
      </w:r>
    </w:p>
    <w:p w14:paraId="1A65CA62">
      <w:pPr>
        <w:spacing w:line="360" w:lineRule="auto"/>
        <w:ind w:firstLine="5565" w:firstLineChars="2650"/>
        <w:jc w:val="right"/>
        <w:rPr>
          <w:rFonts w:ascii="Times New Roman" w:hAnsi="Times New Roman" w:cs="Times New Roman"/>
          <w:color w:val="000000"/>
          <w:szCs w:val="21"/>
          <w:highlight w:val="none"/>
        </w:rPr>
      </w:pPr>
    </w:p>
    <w:p w14:paraId="1766AE80">
      <w:pPr>
        <w:spacing w:line="360" w:lineRule="auto"/>
        <w:ind w:firstLine="6385" w:firstLineChars="2650"/>
        <w:jc w:val="right"/>
        <w:rPr>
          <w:rFonts w:ascii="Times New Roman" w:hAnsi="Times New Roman" w:cs="Times New Roman"/>
          <w:b/>
          <w:color w:val="000000"/>
          <w:sz w:val="24"/>
          <w:highlight w:val="none"/>
        </w:rPr>
      </w:pPr>
    </w:p>
    <w:p w14:paraId="4688BA7C">
      <w:pPr>
        <w:spacing w:line="360" w:lineRule="auto"/>
        <w:rPr>
          <w:rFonts w:ascii="Times New Roman" w:hAnsi="Times New Roman" w:cs="Times New Roman"/>
          <w:color w:val="000000"/>
          <w:highlight w:val="none"/>
        </w:rPr>
      </w:pPr>
    </w:p>
    <w:p w14:paraId="0117B6FA">
      <w:pPr>
        <w:widowControl/>
        <w:spacing w:line="360" w:lineRule="auto"/>
        <w:jc w:val="left"/>
        <w:rPr>
          <w:rFonts w:ascii="Times New Roman" w:hAnsi="Times New Roman" w:cs="Times New Roman"/>
          <w:color w:val="000000"/>
          <w:highlight w:val="none"/>
        </w:rPr>
      </w:pPr>
      <w:r>
        <w:rPr>
          <w:rFonts w:ascii="Times New Roman" w:hAnsi="Times New Roman" w:cs="Times New Roman"/>
          <w:color w:val="000000"/>
          <w:highlight w:val="none"/>
        </w:rPr>
        <w:br w:type="page"/>
      </w:r>
    </w:p>
    <w:p w14:paraId="72925117">
      <w:pPr>
        <w:pStyle w:val="5"/>
        <w:jc w:val="center"/>
        <w:rPr>
          <w:rFonts w:ascii="Times New Roman" w:hAnsi="Times New Roman"/>
          <w:color w:val="000000"/>
          <w:sz w:val="28"/>
          <w:highlight w:val="none"/>
        </w:rPr>
      </w:pPr>
      <w:r>
        <w:rPr>
          <w:rFonts w:ascii="Times New Roman" w:hAnsi="Times New Roman"/>
          <w:color w:val="000000"/>
          <w:sz w:val="28"/>
          <w:highlight w:val="none"/>
        </w:rPr>
        <w:t xml:space="preserve">(三) </w:t>
      </w:r>
      <w:r>
        <w:rPr>
          <w:rFonts w:hint="eastAsia" w:ascii="Times New Roman" w:hAnsi="Times New Roman"/>
          <w:color w:val="000000"/>
          <w:sz w:val="28"/>
          <w:highlight w:val="none"/>
        </w:rPr>
        <w:t>比选申请</w:t>
      </w:r>
      <w:r>
        <w:rPr>
          <w:rFonts w:ascii="Times New Roman" w:hAnsi="Times New Roman"/>
          <w:color w:val="000000"/>
          <w:sz w:val="28"/>
          <w:highlight w:val="none"/>
        </w:rPr>
        <w:t>函附录</w:t>
      </w:r>
    </w:p>
    <w:tbl>
      <w:tblPr>
        <w:tblStyle w:val="15"/>
        <w:tblW w:w="510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2"/>
        <w:gridCol w:w="3173"/>
        <w:gridCol w:w="3403"/>
        <w:gridCol w:w="1349"/>
      </w:tblGrid>
      <w:tr w14:paraId="6F9A4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615" w:type="pct"/>
            <w:tcBorders>
              <w:top w:val="single" w:color="auto" w:sz="4" w:space="0"/>
              <w:left w:val="single" w:color="auto" w:sz="4" w:space="0"/>
              <w:bottom w:val="single" w:color="auto" w:sz="4" w:space="0"/>
              <w:right w:val="single" w:color="auto" w:sz="4" w:space="0"/>
            </w:tcBorders>
            <w:vAlign w:val="center"/>
          </w:tcPr>
          <w:p w14:paraId="29AB7F1F">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序号</w:t>
            </w:r>
          </w:p>
        </w:tc>
        <w:tc>
          <w:tcPr>
            <w:tcW w:w="1755" w:type="pct"/>
            <w:tcBorders>
              <w:top w:val="single" w:color="auto" w:sz="4" w:space="0"/>
              <w:left w:val="single" w:color="auto" w:sz="4" w:space="0"/>
              <w:bottom w:val="single" w:color="auto" w:sz="4" w:space="0"/>
              <w:right w:val="single" w:color="auto" w:sz="4" w:space="0"/>
            </w:tcBorders>
            <w:vAlign w:val="center"/>
          </w:tcPr>
          <w:p w14:paraId="168182F0">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条款名称</w:t>
            </w:r>
          </w:p>
        </w:tc>
        <w:tc>
          <w:tcPr>
            <w:tcW w:w="1882" w:type="pct"/>
            <w:tcBorders>
              <w:top w:val="single" w:color="auto" w:sz="4" w:space="0"/>
              <w:left w:val="single" w:color="auto" w:sz="4" w:space="0"/>
              <w:bottom w:val="single" w:color="auto" w:sz="4" w:space="0"/>
              <w:right w:val="single" w:color="auto" w:sz="4" w:space="0"/>
            </w:tcBorders>
            <w:vAlign w:val="center"/>
          </w:tcPr>
          <w:p w14:paraId="34BB0505">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约定内容</w:t>
            </w:r>
          </w:p>
        </w:tc>
        <w:tc>
          <w:tcPr>
            <w:tcW w:w="746" w:type="pct"/>
            <w:tcBorders>
              <w:top w:val="single" w:color="auto" w:sz="4" w:space="0"/>
              <w:left w:val="single" w:color="auto" w:sz="4" w:space="0"/>
              <w:bottom w:val="single" w:color="auto" w:sz="4" w:space="0"/>
              <w:right w:val="single" w:color="auto" w:sz="4" w:space="0"/>
            </w:tcBorders>
            <w:vAlign w:val="center"/>
          </w:tcPr>
          <w:p w14:paraId="5B1C5489">
            <w:pPr>
              <w:spacing w:line="360" w:lineRule="auto"/>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承诺</w:t>
            </w:r>
          </w:p>
          <w:p w14:paraId="43A7A937">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（是/否）</w:t>
            </w:r>
          </w:p>
        </w:tc>
      </w:tr>
      <w:tr w14:paraId="3A6CB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615" w:type="pct"/>
            <w:tcBorders>
              <w:top w:val="single" w:color="auto" w:sz="4" w:space="0"/>
              <w:left w:val="single" w:color="auto" w:sz="4" w:space="0"/>
              <w:bottom w:val="single" w:color="auto" w:sz="4" w:space="0"/>
              <w:right w:val="single" w:color="auto" w:sz="4" w:space="0"/>
            </w:tcBorders>
            <w:vAlign w:val="center"/>
          </w:tcPr>
          <w:p w14:paraId="0586505E">
            <w:pPr>
              <w:autoSpaceDE w:val="0"/>
              <w:autoSpaceDN w:val="0"/>
              <w:adjustRightInd w:val="0"/>
              <w:spacing w:line="360" w:lineRule="auto"/>
              <w:ind w:right="-20"/>
              <w:jc w:val="center"/>
              <w:rPr>
                <w:rFonts w:ascii="Times New Roman" w:hAnsi="Times New Roman" w:cs="Times New Roman"/>
                <w:color w:val="000000"/>
                <w:kern w:val="0"/>
                <w:szCs w:val="21"/>
                <w:highlight w:val="none"/>
              </w:rPr>
            </w:pPr>
            <w:r>
              <w:rPr>
                <w:rFonts w:hint="eastAsia" w:ascii="Times New Roman" w:hAnsi="Times New Roman" w:cs="Times New Roman"/>
                <w:color w:val="000000"/>
                <w:kern w:val="0"/>
                <w:szCs w:val="21"/>
                <w:highlight w:val="none"/>
              </w:rPr>
              <w:t>1</w:t>
            </w:r>
          </w:p>
        </w:tc>
        <w:tc>
          <w:tcPr>
            <w:tcW w:w="1755" w:type="pct"/>
            <w:tcBorders>
              <w:top w:val="single" w:color="auto" w:sz="4" w:space="0"/>
              <w:left w:val="single" w:color="auto" w:sz="4" w:space="0"/>
              <w:bottom w:val="single" w:color="auto" w:sz="4" w:space="0"/>
              <w:right w:val="single" w:color="auto" w:sz="4" w:space="0"/>
            </w:tcBorders>
            <w:vAlign w:val="center"/>
          </w:tcPr>
          <w:p w14:paraId="2C8FAF15">
            <w:pPr>
              <w:autoSpaceDE w:val="0"/>
              <w:autoSpaceDN w:val="0"/>
              <w:adjustRightInd w:val="0"/>
              <w:spacing w:line="360" w:lineRule="auto"/>
              <w:ind w:right="-20"/>
              <w:jc w:val="center"/>
              <w:rPr>
                <w:rFonts w:ascii="Times New Roman" w:hAnsi="Times New Roman" w:cs="Times New Roman"/>
                <w:color w:val="000000"/>
                <w:kern w:val="0"/>
                <w:szCs w:val="21"/>
                <w:highlight w:val="none"/>
              </w:rPr>
            </w:pPr>
            <w:r>
              <w:rPr>
                <w:rFonts w:hint="eastAsia" w:ascii="Times New Roman" w:hAnsi="Times New Roman" w:cs="Times New Roman"/>
                <w:color w:val="000000"/>
                <w:kern w:val="0"/>
                <w:szCs w:val="21"/>
                <w:highlight w:val="none"/>
              </w:rPr>
              <w:t>比选申请</w:t>
            </w:r>
            <w:r>
              <w:rPr>
                <w:rFonts w:ascii="Times New Roman" w:hAnsi="Times New Roman" w:cs="Times New Roman"/>
                <w:color w:val="000000"/>
                <w:kern w:val="0"/>
                <w:szCs w:val="21"/>
                <w:highlight w:val="none"/>
              </w:rPr>
              <w:t>有效期</w:t>
            </w:r>
          </w:p>
        </w:tc>
        <w:tc>
          <w:tcPr>
            <w:tcW w:w="1882" w:type="pct"/>
            <w:tcBorders>
              <w:top w:val="single" w:color="auto" w:sz="4" w:space="0"/>
              <w:left w:val="single" w:color="auto" w:sz="4" w:space="0"/>
              <w:bottom w:val="single" w:color="auto" w:sz="4" w:space="0"/>
              <w:right w:val="single" w:color="auto" w:sz="4" w:space="0"/>
            </w:tcBorders>
            <w:vAlign w:val="center"/>
          </w:tcPr>
          <w:p w14:paraId="31E59BC6">
            <w:pPr>
              <w:autoSpaceDE w:val="0"/>
              <w:autoSpaceDN w:val="0"/>
              <w:adjustRightInd w:val="0"/>
              <w:spacing w:line="360" w:lineRule="auto"/>
              <w:rPr>
                <w:rFonts w:ascii="Times New Roman" w:hAnsi="Times New Roman" w:cs="Times New Roman"/>
                <w:color w:val="000000"/>
                <w:kern w:val="0"/>
                <w:szCs w:val="21"/>
                <w:highlight w:val="none"/>
              </w:rPr>
            </w:pPr>
            <w:r>
              <w:rPr>
                <w:rFonts w:ascii="Times New Roman" w:hAnsi="Times New Roman" w:cs="Times New Roman"/>
                <w:color w:val="000000"/>
                <w:szCs w:val="21"/>
                <w:highlight w:val="none"/>
              </w:rPr>
              <w:t>天数</w:t>
            </w:r>
            <w:r>
              <w:rPr>
                <w:rFonts w:hint="eastAsia" w:ascii="Times New Roman" w:hAnsi="Times New Roman" w:cs="Times New Roman"/>
                <w:color w:val="000000"/>
                <w:szCs w:val="21"/>
                <w:highlight w:val="none"/>
                <w:lang w:eastAsia="zh-CN"/>
              </w:rPr>
              <w:t>：</w:t>
            </w:r>
            <w:r>
              <w:rPr>
                <w:rFonts w:hint="eastAsia" w:ascii="Times New Roman" w:hAnsi="Times New Roman" w:cs="Times New Roman"/>
                <w:color w:val="000000"/>
                <w:szCs w:val="21"/>
                <w:highlight w:val="none"/>
                <w:u w:val="single"/>
                <w:lang w:val="en-US" w:eastAsia="zh-CN"/>
              </w:rPr>
              <w:t xml:space="preserve"> 60 </w:t>
            </w:r>
            <w:r>
              <w:rPr>
                <w:rFonts w:ascii="Times New Roman" w:hAnsi="Times New Roman" w:cs="Times New Roman"/>
                <w:color w:val="000000"/>
                <w:szCs w:val="21"/>
                <w:highlight w:val="none"/>
              </w:rPr>
              <w:t>个日历天（从</w:t>
            </w:r>
            <w:r>
              <w:rPr>
                <w:rFonts w:hint="eastAsia" w:ascii="Times New Roman" w:hAnsi="Times New Roman" w:cs="Times New Roman"/>
                <w:color w:val="000000"/>
                <w:szCs w:val="21"/>
                <w:highlight w:val="none"/>
              </w:rPr>
              <w:t>比选申请文件递交</w:t>
            </w:r>
            <w:r>
              <w:rPr>
                <w:rFonts w:ascii="Times New Roman" w:hAnsi="Times New Roman" w:cs="Times New Roman"/>
                <w:color w:val="000000"/>
                <w:szCs w:val="21"/>
                <w:highlight w:val="none"/>
              </w:rPr>
              <w:t>截止之日算起）</w:t>
            </w:r>
          </w:p>
        </w:tc>
        <w:tc>
          <w:tcPr>
            <w:tcW w:w="746" w:type="pct"/>
            <w:tcBorders>
              <w:top w:val="single" w:color="auto" w:sz="4" w:space="0"/>
              <w:left w:val="single" w:color="auto" w:sz="4" w:space="0"/>
              <w:bottom w:val="single" w:color="auto" w:sz="4" w:space="0"/>
              <w:right w:val="single" w:color="auto" w:sz="4" w:space="0"/>
            </w:tcBorders>
            <w:vAlign w:val="center"/>
          </w:tcPr>
          <w:p w14:paraId="5D9784D1">
            <w:pPr>
              <w:spacing w:line="360" w:lineRule="auto"/>
              <w:jc w:val="center"/>
              <w:rPr>
                <w:rFonts w:ascii="Times New Roman" w:hAnsi="Times New Roman" w:cs="Times New Roman"/>
                <w:color w:val="000000"/>
                <w:szCs w:val="21"/>
                <w:highlight w:val="none"/>
              </w:rPr>
            </w:pPr>
          </w:p>
        </w:tc>
      </w:tr>
      <w:tr w14:paraId="3ABB9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615" w:type="pct"/>
            <w:tcBorders>
              <w:top w:val="single" w:color="auto" w:sz="4" w:space="0"/>
              <w:left w:val="single" w:color="auto" w:sz="4" w:space="0"/>
              <w:bottom w:val="single" w:color="auto" w:sz="4" w:space="0"/>
              <w:right w:val="single" w:color="auto" w:sz="4" w:space="0"/>
            </w:tcBorders>
            <w:vAlign w:val="center"/>
          </w:tcPr>
          <w:p w14:paraId="5A709765">
            <w:pPr>
              <w:spacing w:line="360" w:lineRule="auto"/>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2</w:t>
            </w:r>
          </w:p>
        </w:tc>
        <w:tc>
          <w:tcPr>
            <w:tcW w:w="1755" w:type="pct"/>
            <w:tcBorders>
              <w:top w:val="single" w:color="auto" w:sz="4" w:space="0"/>
              <w:left w:val="single" w:color="auto" w:sz="4" w:space="0"/>
              <w:bottom w:val="single" w:color="auto" w:sz="4" w:space="0"/>
              <w:right w:val="single" w:color="auto" w:sz="4" w:space="0"/>
            </w:tcBorders>
            <w:vAlign w:val="center"/>
          </w:tcPr>
          <w:p w14:paraId="4499106B">
            <w:pPr>
              <w:spacing w:line="360" w:lineRule="auto"/>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计划</w:t>
            </w:r>
            <w:r>
              <w:rPr>
                <w:rFonts w:ascii="Times New Roman" w:hAnsi="Times New Roman" w:cs="Times New Roman"/>
                <w:color w:val="000000"/>
                <w:szCs w:val="21"/>
                <w:highlight w:val="none"/>
              </w:rPr>
              <w:t>工期</w:t>
            </w:r>
          </w:p>
        </w:tc>
        <w:tc>
          <w:tcPr>
            <w:tcW w:w="1882" w:type="pct"/>
            <w:tcBorders>
              <w:top w:val="single" w:color="auto" w:sz="4" w:space="0"/>
              <w:left w:val="single" w:color="auto" w:sz="4" w:space="0"/>
              <w:bottom w:val="single" w:color="auto" w:sz="4" w:space="0"/>
              <w:right w:val="single" w:color="auto" w:sz="4" w:space="0"/>
            </w:tcBorders>
            <w:vAlign w:val="center"/>
          </w:tcPr>
          <w:p w14:paraId="690FEE9B">
            <w:pPr>
              <w:spacing w:line="360" w:lineRule="auto"/>
              <w:rPr>
                <w:rFonts w:ascii="Times New Roman" w:hAnsi="Times New Roman" w:cs="Times New Roman"/>
                <w:color w:val="000000"/>
                <w:szCs w:val="21"/>
                <w:highlight w:val="none"/>
              </w:rPr>
            </w:pPr>
            <w:r>
              <w:rPr>
                <w:rFonts w:hint="eastAsia" w:ascii="Times New Roman" w:hAnsi="Times New Roman" w:cs="Times New Roman"/>
                <w:szCs w:val="21"/>
                <w:highlight w:val="none"/>
              </w:rPr>
              <w:t>自开工通知发出之日起</w:t>
            </w:r>
            <w:r>
              <w:rPr>
                <w:rFonts w:hint="eastAsia" w:ascii="Times New Roman" w:hAnsi="Times New Roman" w:cs="Times New Roman"/>
                <w:color w:val="000000"/>
                <w:szCs w:val="21"/>
                <w:highlight w:val="none"/>
                <w:u w:val="single"/>
                <w:lang w:val="en-US" w:eastAsia="zh-CN"/>
              </w:rPr>
              <w:t xml:space="preserve"> 60 </w:t>
            </w:r>
            <w:r>
              <w:rPr>
                <w:rFonts w:ascii="Times New Roman" w:hAnsi="Times New Roman" w:cs="Times New Roman"/>
                <w:szCs w:val="21"/>
                <w:highlight w:val="none"/>
              </w:rPr>
              <w:t>个日历天</w:t>
            </w:r>
            <w:r>
              <w:rPr>
                <w:rFonts w:hint="eastAsia" w:ascii="Times New Roman" w:hAnsi="Times New Roman" w:cs="Times New Roman"/>
                <w:szCs w:val="21"/>
                <w:highlight w:val="none"/>
              </w:rPr>
              <w:t>内</w:t>
            </w:r>
          </w:p>
        </w:tc>
        <w:tc>
          <w:tcPr>
            <w:tcW w:w="746" w:type="pct"/>
            <w:tcBorders>
              <w:top w:val="single" w:color="auto" w:sz="4" w:space="0"/>
              <w:left w:val="single" w:color="auto" w:sz="4" w:space="0"/>
              <w:bottom w:val="single" w:color="auto" w:sz="4" w:space="0"/>
              <w:right w:val="single" w:color="auto" w:sz="4" w:space="0"/>
            </w:tcBorders>
            <w:vAlign w:val="center"/>
          </w:tcPr>
          <w:p w14:paraId="2CA5E4A0">
            <w:pPr>
              <w:spacing w:line="360" w:lineRule="auto"/>
              <w:jc w:val="center"/>
              <w:rPr>
                <w:rFonts w:ascii="Times New Roman" w:hAnsi="Times New Roman" w:cs="Times New Roman"/>
                <w:color w:val="000000"/>
                <w:szCs w:val="21"/>
                <w:highlight w:val="none"/>
              </w:rPr>
            </w:pPr>
          </w:p>
        </w:tc>
      </w:tr>
      <w:tr w14:paraId="7C3CB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615" w:type="pct"/>
            <w:tcBorders>
              <w:top w:val="single" w:color="auto" w:sz="4" w:space="0"/>
              <w:left w:val="single" w:color="auto" w:sz="4" w:space="0"/>
              <w:bottom w:val="single" w:color="auto" w:sz="4" w:space="0"/>
              <w:right w:val="single" w:color="auto" w:sz="4" w:space="0"/>
            </w:tcBorders>
            <w:vAlign w:val="center"/>
          </w:tcPr>
          <w:p w14:paraId="5FDE2865">
            <w:pPr>
              <w:spacing w:line="360" w:lineRule="auto"/>
              <w:jc w:val="center"/>
              <w:rPr>
                <w:rFonts w:ascii="Times New Roman" w:hAnsi="Times New Roman" w:cs="Times New Roman"/>
                <w:color w:val="000000"/>
                <w:kern w:val="0"/>
                <w:szCs w:val="21"/>
                <w:highlight w:val="none"/>
              </w:rPr>
            </w:pPr>
            <w:r>
              <w:rPr>
                <w:rFonts w:hint="eastAsia" w:ascii="Times New Roman" w:hAnsi="Times New Roman" w:cs="Times New Roman"/>
                <w:color w:val="000000"/>
                <w:kern w:val="0"/>
                <w:szCs w:val="21"/>
                <w:highlight w:val="none"/>
              </w:rPr>
              <w:t>3</w:t>
            </w:r>
          </w:p>
        </w:tc>
        <w:tc>
          <w:tcPr>
            <w:tcW w:w="1755" w:type="pct"/>
            <w:tcBorders>
              <w:top w:val="single" w:color="auto" w:sz="4" w:space="0"/>
              <w:left w:val="single" w:color="auto" w:sz="4" w:space="0"/>
              <w:bottom w:val="single" w:color="auto" w:sz="4" w:space="0"/>
              <w:right w:val="single" w:color="auto" w:sz="4" w:space="0"/>
            </w:tcBorders>
            <w:vAlign w:val="center"/>
          </w:tcPr>
          <w:p w14:paraId="0391A263">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kern w:val="0"/>
                <w:szCs w:val="21"/>
                <w:highlight w:val="none"/>
              </w:rPr>
              <w:t>合同条款</w:t>
            </w:r>
          </w:p>
        </w:tc>
        <w:tc>
          <w:tcPr>
            <w:tcW w:w="1882" w:type="pct"/>
            <w:tcBorders>
              <w:top w:val="single" w:color="auto" w:sz="4" w:space="0"/>
              <w:left w:val="single" w:color="auto" w:sz="4" w:space="0"/>
              <w:bottom w:val="single" w:color="auto" w:sz="4" w:space="0"/>
              <w:right w:val="single" w:color="auto" w:sz="4" w:space="0"/>
            </w:tcBorders>
            <w:vAlign w:val="center"/>
          </w:tcPr>
          <w:p w14:paraId="58C4D988">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kern w:val="0"/>
                <w:szCs w:val="21"/>
                <w:highlight w:val="none"/>
              </w:rPr>
              <w:t>是否接受</w:t>
            </w:r>
            <w:r>
              <w:rPr>
                <w:rFonts w:hint="eastAsia" w:ascii="Times New Roman" w:hAnsi="Times New Roman" w:cs="Times New Roman"/>
                <w:color w:val="000000"/>
                <w:kern w:val="0"/>
                <w:szCs w:val="21"/>
                <w:highlight w:val="none"/>
              </w:rPr>
              <w:t>比选</w:t>
            </w:r>
            <w:r>
              <w:rPr>
                <w:rFonts w:ascii="Times New Roman" w:hAnsi="Times New Roman" w:cs="Times New Roman"/>
                <w:color w:val="000000"/>
                <w:kern w:val="0"/>
                <w:szCs w:val="21"/>
                <w:highlight w:val="none"/>
              </w:rPr>
              <w:t>文件中的合同条款</w:t>
            </w:r>
          </w:p>
        </w:tc>
        <w:tc>
          <w:tcPr>
            <w:tcW w:w="746" w:type="pct"/>
            <w:tcBorders>
              <w:top w:val="single" w:color="auto" w:sz="4" w:space="0"/>
              <w:left w:val="single" w:color="auto" w:sz="4" w:space="0"/>
              <w:bottom w:val="single" w:color="auto" w:sz="4" w:space="0"/>
              <w:right w:val="single" w:color="auto" w:sz="4" w:space="0"/>
            </w:tcBorders>
            <w:vAlign w:val="center"/>
          </w:tcPr>
          <w:p w14:paraId="3E21163E">
            <w:pPr>
              <w:spacing w:line="360" w:lineRule="auto"/>
              <w:jc w:val="center"/>
              <w:rPr>
                <w:rFonts w:ascii="Times New Roman" w:hAnsi="Times New Roman" w:cs="Times New Roman"/>
                <w:color w:val="000000"/>
                <w:szCs w:val="21"/>
                <w:highlight w:val="none"/>
              </w:rPr>
            </w:pPr>
          </w:p>
        </w:tc>
      </w:tr>
      <w:tr w14:paraId="38198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615" w:type="pct"/>
            <w:tcBorders>
              <w:top w:val="single" w:color="auto" w:sz="4" w:space="0"/>
              <w:left w:val="single" w:color="auto" w:sz="4" w:space="0"/>
              <w:bottom w:val="single" w:color="auto" w:sz="4" w:space="0"/>
              <w:right w:val="single" w:color="auto" w:sz="4" w:space="0"/>
            </w:tcBorders>
            <w:vAlign w:val="center"/>
          </w:tcPr>
          <w:p w14:paraId="7A96EC27">
            <w:pPr>
              <w:autoSpaceDE w:val="0"/>
              <w:autoSpaceDN w:val="0"/>
              <w:adjustRightInd w:val="0"/>
              <w:spacing w:line="360" w:lineRule="auto"/>
              <w:ind w:right="-20"/>
              <w:jc w:val="center"/>
              <w:rPr>
                <w:rFonts w:hint="eastAsia" w:ascii="Times New Roman" w:hAnsi="Times New Roman" w:eastAsia="宋体" w:cs="Times New Roman"/>
                <w:color w:val="000000"/>
                <w:szCs w:val="21"/>
                <w:highlight w:val="none"/>
                <w:lang w:eastAsia="zh-CN"/>
              </w:rPr>
            </w:pPr>
            <w:r>
              <w:rPr>
                <w:rFonts w:hint="eastAsia" w:ascii="Times New Roman" w:hAnsi="Times New Roman" w:cs="Times New Roman"/>
                <w:color w:val="000000"/>
                <w:szCs w:val="21"/>
                <w:highlight w:val="none"/>
                <w:lang w:val="en-US" w:eastAsia="zh-CN"/>
              </w:rPr>
              <w:t>4</w:t>
            </w:r>
          </w:p>
        </w:tc>
        <w:tc>
          <w:tcPr>
            <w:tcW w:w="1755" w:type="pct"/>
            <w:tcBorders>
              <w:top w:val="single" w:color="auto" w:sz="4" w:space="0"/>
              <w:left w:val="single" w:color="auto" w:sz="4" w:space="0"/>
              <w:bottom w:val="single" w:color="auto" w:sz="4" w:space="0"/>
              <w:right w:val="single" w:color="auto" w:sz="4" w:space="0"/>
            </w:tcBorders>
            <w:vAlign w:val="center"/>
          </w:tcPr>
          <w:p w14:paraId="1173639A">
            <w:pPr>
              <w:autoSpaceDE w:val="0"/>
              <w:autoSpaceDN w:val="0"/>
              <w:adjustRightInd w:val="0"/>
              <w:spacing w:line="360" w:lineRule="auto"/>
              <w:ind w:right="-20"/>
              <w:jc w:val="center"/>
              <w:rPr>
                <w:rFonts w:ascii="Times New Roman" w:hAnsi="Times New Roman" w:cs="Times New Roman"/>
                <w:color w:val="000000"/>
                <w:kern w:val="0"/>
                <w:szCs w:val="21"/>
                <w:highlight w:val="none"/>
              </w:rPr>
            </w:pPr>
            <w:r>
              <w:rPr>
                <w:rFonts w:ascii="Times New Roman" w:hAnsi="Times New Roman" w:cs="Times New Roman"/>
                <w:color w:val="000000"/>
                <w:szCs w:val="21"/>
                <w:highlight w:val="none"/>
              </w:rPr>
              <w:t>工程质量</w:t>
            </w:r>
          </w:p>
        </w:tc>
        <w:tc>
          <w:tcPr>
            <w:tcW w:w="1882" w:type="pct"/>
            <w:tcBorders>
              <w:top w:val="single" w:color="auto" w:sz="4" w:space="0"/>
              <w:left w:val="single" w:color="auto" w:sz="4" w:space="0"/>
              <w:bottom w:val="single" w:color="auto" w:sz="4" w:space="0"/>
              <w:right w:val="single" w:color="auto" w:sz="4" w:space="0"/>
            </w:tcBorders>
            <w:vAlign w:val="center"/>
          </w:tcPr>
          <w:p w14:paraId="1D6A0F79">
            <w:pPr>
              <w:spacing w:line="360" w:lineRule="auto"/>
              <w:ind w:firstLine="210" w:firstLineChars="100"/>
              <w:jc w:val="left"/>
              <w:rPr>
                <w:rFonts w:ascii="Times New Roman" w:hAnsi="Times New Roman" w:cs="Times New Roman"/>
                <w:color w:val="000000"/>
                <w:szCs w:val="21"/>
                <w:highlight w:val="none"/>
              </w:rPr>
            </w:pPr>
            <w:r>
              <w:rPr>
                <w:rFonts w:ascii="Times New Roman" w:hAnsi="Times New Roman" w:cs="Times New Roman"/>
                <w:color w:val="000000"/>
                <w:kern w:val="0"/>
                <w:szCs w:val="21"/>
                <w:highlight w:val="none"/>
              </w:rPr>
              <w:t>是否响应</w:t>
            </w:r>
            <w:r>
              <w:rPr>
                <w:rFonts w:hint="eastAsia" w:ascii="Times New Roman" w:hAnsi="Times New Roman" w:cs="Times New Roman"/>
                <w:color w:val="000000"/>
                <w:kern w:val="0"/>
                <w:szCs w:val="21"/>
                <w:highlight w:val="none"/>
              </w:rPr>
              <w:t>比选</w:t>
            </w:r>
            <w:r>
              <w:rPr>
                <w:rFonts w:ascii="Times New Roman" w:hAnsi="Times New Roman" w:cs="Times New Roman"/>
                <w:color w:val="000000"/>
                <w:kern w:val="0"/>
                <w:szCs w:val="21"/>
                <w:highlight w:val="none"/>
              </w:rPr>
              <w:t>文件中的</w:t>
            </w:r>
            <w:r>
              <w:rPr>
                <w:rFonts w:ascii="Times New Roman" w:hAnsi="Times New Roman" w:cs="Times New Roman"/>
                <w:color w:val="000000"/>
                <w:szCs w:val="21"/>
                <w:highlight w:val="none"/>
              </w:rPr>
              <w:t>质量标准</w:t>
            </w:r>
          </w:p>
        </w:tc>
        <w:tc>
          <w:tcPr>
            <w:tcW w:w="746" w:type="pct"/>
            <w:tcBorders>
              <w:top w:val="single" w:color="auto" w:sz="4" w:space="0"/>
              <w:left w:val="single" w:color="auto" w:sz="4" w:space="0"/>
              <w:bottom w:val="single" w:color="auto" w:sz="4" w:space="0"/>
              <w:right w:val="single" w:color="auto" w:sz="4" w:space="0"/>
            </w:tcBorders>
            <w:vAlign w:val="center"/>
          </w:tcPr>
          <w:p w14:paraId="08A1E188">
            <w:pPr>
              <w:spacing w:line="360" w:lineRule="auto"/>
              <w:jc w:val="center"/>
              <w:rPr>
                <w:rFonts w:ascii="Times New Roman" w:hAnsi="Times New Roman" w:cs="Times New Roman"/>
                <w:color w:val="000000"/>
                <w:szCs w:val="21"/>
                <w:highlight w:val="none"/>
              </w:rPr>
            </w:pPr>
          </w:p>
        </w:tc>
      </w:tr>
      <w:tr w14:paraId="3535C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615" w:type="pct"/>
            <w:tcBorders>
              <w:top w:val="single" w:color="auto" w:sz="4" w:space="0"/>
              <w:left w:val="single" w:color="auto" w:sz="4" w:space="0"/>
              <w:bottom w:val="single" w:color="auto" w:sz="4" w:space="0"/>
              <w:right w:val="single" w:color="auto" w:sz="4" w:space="0"/>
            </w:tcBorders>
            <w:vAlign w:val="center"/>
          </w:tcPr>
          <w:p w14:paraId="682E7562">
            <w:pPr>
              <w:spacing w:line="360" w:lineRule="auto"/>
              <w:jc w:val="center"/>
              <w:rPr>
                <w:rFonts w:hint="eastAsia" w:ascii="Times New Roman" w:hAnsi="Times New Roman" w:eastAsia="宋体" w:cs="Times New Roman"/>
                <w:color w:val="000000"/>
                <w:kern w:val="0"/>
                <w:szCs w:val="21"/>
                <w:highlight w:val="none"/>
                <w:lang w:eastAsia="zh-CN"/>
              </w:rPr>
            </w:pPr>
            <w:r>
              <w:rPr>
                <w:rFonts w:hint="eastAsia" w:ascii="Times New Roman" w:hAnsi="Times New Roman" w:cs="Times New Roman"/>
                <w:color w:val="000000"/>
                <w:kern w:val="0"/>
                <w:szCs w:val="21"/>
                <w:highlight w:val="none"/>
                <w:lang w:val="en-US" w:eastAsia="zh-CN"/>
              </w:rPr>
              <w:t>5</w:t>
            </w:r>
          </w:p>
        </w:tc>
        <w:tc>
          <w:tcPr>
            <w:tcW w:w="1755" w:type="pct"/>
            <w:tcBorders>
              <w:top w:val="single" w:color="auto" w:sz="4" w:space="0"/>
              <w:left w:val="single" w:color="auto" w:sz="4" w:space="0"/>
              <w:bottom w:val="single" w:color="auto" w:sz="4" w:space="0"/>
              <w:right w:val="single" w:color="auto" w:sz="4" w:space="0"/>
            </w:tcBorders>
            <w:vAlign w:val="center"/>
          </w:tcPr>
          <w:p w14:paraId="171C4E60">
            <w:pPr>
              <w:spacing w:line="360" w:lineRule="auto"/>
              <w:jc w:val="center"/>
              <w:rPr>
                <w:rFonts w:ascii="Times New Roman" w:hAnsi="Times New Roman" w:cs="Times New Roman"/>
                <w:color w:val="000000"/>
                <w:szCs w:val="21"/>
                <w:highlight w:val="none"/>
              </w:rPr>
            </w:pPr>
            <w:r>
              <w:rPr>
                <w:rFonts w:hint="eastAsia" w:ascii="Times New Roman" w:hAnsi="Times New Roman" w:cs="Times New Roman"/>
                <w:color w:val="000000"/>
                <w:kern w:val="0"/>
                <w:szCs w:val="21"/>
                <w:highlight w:val="none"/>
              </w:rPr>
              <w:t>比选</w:t>
            </w:r>
            <w:r>
              <w:rPr>
                <w:rFonts w:ascii="Times New Roman" w:hAnsi="Times New Roman" w:cs="Times New Roman"/>
                <w:color w:val="000000"/>
                <w:kern w:val="0"/>
                <w:szCs w:val="21"/>
                <w:highlight w:val="none"/>
              </w:rPr>
              <w:t>范围</w:t>
            </w:r>
          </w:p>
        </w:tc>
        <w:tc>
          <w:tcPr>
            <w:tcW w:w="1882" w:type="pct"/>
            <w:tcBorders>
              <w:top w:val="single" w:color="auto" w:sz="4" w:space="0"/>
              <w:left w:val="single" w:color="auto" w:sz="4" w:space="0"/>
              <w:bottom w:val="single" w:color="auto" w:sz="4" w:space="0"/>
              <w:right w:val="single" w:color="auto" w:sz="4" w:space="0"/>
            </w:tcBorders>
            <w:vAlign w:val="center"/>
          </w:tcPr>
          <w:p w14:paraId="4ACD7A88">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kern w:val="0"/>
                <w:szCs w:val="21"/>
                <w:highlight w:val="none"/>
              </w:rPr>
              <w:t>是否响应</w:t>
            </w:r>
            <w:r>
              <w:rPr>
                <w:rFonts w:hint="eastAsia" w:ascii="Times New Roman" w:hAnsi="Times New Roman" w:cs="Times New Roman"/>
                <w:color w:val="000000"/>
                <w:kern w:val="0"/>
                <w:szCs w:val="21"/>
                <w:highlight w:val="none"/>
              </w:rPr>
              <w:t>比选</w:t>
            </w:r>
            <w:r>
              <w:rPr>
                <w:rFonts w:ascii="Times New Roman" w:hAnsi="Times New Roman" w:cs="Times New Roman"/>
                <w:color w:val="000000"/>
                <w:kern w:val="0"/>
                <w:szCs w:val="21"/>
                <w:highlight w:val="none"/>
              </w:rPr>
              <w:t>文件中的</w:t>
            </w:r>
            <w:r>
              <w:rPr>
                <w:rFonts w:hint="eastAsia" w:ascii="Times New Roman" w:hAnsi="Times New Roman" w:cs="Times New Roman"/>
                <w:color w:val="000000"/>
                <w:kern w:val="0"/>
                <w:szCs w:val="21"/>
                <w:highlight w:val="none"/>
              </w:rPr>
              <w:t>比选</w:t>
            </w:r>
            <w:r>
              <w:rPr>
                <w:rFonts w:ascii="Times New Roman" w:hAnsi="Times New Roman" w:cs="Times New Roman"/>
                <w:color w:val="000000"/>
                <w:kern w:val="0"/>
                <w:szCs w:val="21"/>
                <w:highlight w:val="none"/>
              </w:rPr>
              <w:t>范围</w:t>
            </w:r>
          </w:p>
        </w:tc>
        <w:tc>
          <w:tcPr>
            <w:tcW w:w="746" w:type="pct"/>
            <w:tcBorders>
              <w:top w:val="single" w:color="auto" w:sz="4" w:space="0"/>
              <w:left w:val="single" w:color="auto" w:sz="4" w:space="0"/>
              <w:bottom w:val="single" w:color="auto" w:sz="4" w:space="0"/>
              <w:right w:val="single" w:color="auto" w:sz="4" w:space="0"/>
            </w:tcBorders>
            <w:vAlign w:val="center"/>
          </w:tcPr>
          <w:p w14:paraId="458C446E">
            <w:pPr>
              <w:spacing w:line="360" w:lineRule="auto"/>
              <w:jc w:val="center"/>
              <w:rPr>
                <w:rFonts w:ascii="Times New Roman" w:hAnsi="Times New Roman" w:cs="Times New Roman"/>
                <w:color w:val="000000"/>
                <w:szCs w:val="21"/>
                <w:highlight w:val="none"/>
              </w:rPr>
            </w:pPr>
          </w:p>
        </w:tc>
      </w:tr>
    </w:tbl>
    <w:p w14:paraId="2D3120CA">
      <w:pPr>
        <w:spacing w:line="360" w:lineRule="auto"/>
        <w:rPr>
          <w:rFonts w:ascii="Times New Roman" w:hAnsi="Times New Roman" w:cs="Times New Roman"/>
          <w:color w:val="000000"/>
          <w:highlight w:val="none"/>
        </w:rPr>
      </w:pPr>
    </w:p>
    <w:p w14:paraId="2959B974">
      <w:pPr>
        <w:spacing w:line="360" w:lineRule="auto"/>
        <w:rPr>
          <w:rFonts w:ascii="Times New Roman" w:hAnsi="Times New Roman" w:cs="Times New Roman"/>
          <w:color w:val="000000"/>
          <w:highlight w:val="none"/>
        </w:rPr>
      </w:pPr>
      <w:r>
        <w:rPr>
          <w:rFonts w:ascii="Times New Roman" w:hAnsi="Times New Roman" w:cs="Times New Roman"/>
          <w:color w:val="000000"/>
          <w:highlight w:val="none"/>
        </w:rPr>
        <w:br w:type="page"/>
      </w:r>
    </w:p>
    <w:p w14:paraId="0AD10EA8">
      <w:pPr>
        <w:pStyle w:val="4"/>
        <w:numPr>
          <w:ilvl w:val="0"/>
          <w:numId w:val="9"/>
        </w:numPr>
        <w:spacing w:before="260" w:after="260"/>
        <w:jc w:val="center"/>
        <w:rPr>
          <w:color w:val="000000"/>
          <w:sz w:val="28"/>
          <w:szCs w:val="28"/>
          <w:highlight w:val="none"/>
        </w:rPr>
      </w:pPr>
      <w:r>
        <w:rPr>
          <w:color w:val="000000"/>
          <w:sz w:val="28"/>
          <w:szCs w:val="28"/>
          <w:highlight w:val="none"/>
        </w:rPr>
        <w:t>法定代表人身份证明</w:t>
      </w:r>
    </w:p>
    <w:p w14:paraId="53C1DF4C">
      <w:pPr>
        <w:spacing w:line="360" w:lineRule="auto"/>
        <w:ind w:firstLine="420" w:firstLineChars="200"/>
        <w:rPr>
          <w:rFonts w:ascii="Times New Roman" w:hAnsi="Times New Roman" w:cs="Times New Roman"/>
          <w:color w:val="000000"/>
          <w:szCs w:val="21"/>
          <w:highlight w:val="none"/>
        </w:rPr>
      </w:pPr>
    </w:p>
    <w:p w14:paraId="3CE87F03">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单位名称：_____________________________________</w:t>
      </w:r>
    </w:p>
    <w:p w14:paraId="7105F96D">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单位性质：_____________________________________</w:t>
      </w:r>
    </w:p>
    <w:p w14:paraId="1F17F547">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地址：_________________________________________</w:t>
      </w:r>
    </w:p>
    <w:p w14:paraId="04C7FBE8">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成立时间：______年_____月_____日</w:t>
      </w:r>
    </w:p>
    <w:p w14:paraId="538FAF9C">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经营期限：_______________________________</w:t>
      </w:r>
    </w:p>
    <w:p w14:paraId="1DE4B105">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姓名：___________系_________________（单位名称）的法定代表人。（职务：________电话______________）</w:t>
      </w:r>
    </w:p>
    <w:p w14:paraId="6607AF99">
      <w:pPr>
        <w:spacing w:line="360" w:lineRule="auto"/>
        <w:ind w:firstLine="840" w:firstLineChars="400"/>
        <w:rPr>
          <w:rFonts w:ascii="Times New Roman" w:hAnsi="Times New Roman" w:cs="Times New Roman"/>
          <w:color w:val="000000"/>
          <w:szCs w:val="21"/>
          <w:highlight w:val="none"/>
        </w:rPr>
      </w:pPr>
    </w:p>
    <w:p w14:paraId="11151D7E">
      <w:pPr>
        <w:spacing w:line="360" w:lineRule="auto"/>
        <w:ind w:firstLine="840" w:firstLineChars="400"/>
        <w:rPr>
          <w:rFonts w:ascii="Times New Roman" w:hAnsi="Times New Roman" w:cs="Times New Roman"/>
          <w:color w:val="000000"/>
          <w:szCs w:val="21"/>
          <w:highlight w:val="none"/>
        </w:rPr>
      </w:pPr>
      <w:r>
        <w:rPr>
          <w:rFonts w:ascii="Times New Roman" w:hAnsi="Times New Roman" w:cs="Times New Roman"/>
          <w:color w:val="000000"/>
          <w:szCs w:val="21"/>
          <w:highlight w:val="none"/>
        </w:rPr>
        <w:t>特此证明。</w:t>
      </w:r>
    </w:p>
    <w:p w14:paraId="49CBD604">
      <w:pPr>
        <w:spacing w:line="360" w:lineRule="auto"/>
        <w:ind w:firstLine="840" w:firstLineChars="400"/>
        <w:rPr>
          <w:rFonts w:ascii="Times New Roman" w:hAnsi="Times New Roman" w:cs="Times New Roman"/>
          <w:color w:val="000000"/>
          <w:szCs w:val="21"/>
          <w:highlight w:val="none"/>
        </w:rPr>
      </w:pPr>
      <w:r>
        <w:rPr>
          <w:rFonts w:ascii="Times New Roman" w:hAnsi="Times New Roman" w:cs="Times New Roman"/>
          <w:color w:val="000000"/>
          <w:szCs w:val="21"/>
          <w:highlight w:val="none"/>
        </w:rPr>
        <w:t>附：法定代表人身份证复印件或扫描件。</w:t>
      </w:r>
    </w:p>
    <w:p w14:paraId="59C65E86">
      <w:pPr>
        <w:spacing w:line="360" w:lineRule="auto"/>
        <w:ind w:firstLine="420" w:firstLineChars="200"/>
        <w:rPr>
          <w:rFonts w:ascii="Times New Roman" w:hAnsi="Times New Roman" w:cs="Times New Roman"/>
          <w:color w:val="000000"/>
          <w:szCs w:val="21"/>
          <w:highlight w:val="none"/>
        </w:rPr>
      </w:pPr>
    </w:p>
    <w:p w14:paraId="06A018DA">
      <w:pPr>
        <w:spacing w:line="360" w:lineRule="auto"/>
        <w:ind w:firstLine="420" w:firstLineChars="200"/>
        <w:rPr>
          <w:rFonts w:ascii="Times New Roman" w:hAnsi="Times New Roman" w:cs="Times New Roman"/>
          <w:color w:val="000000"/>
          <w:szCs w:val="21"/>
          <w:highlight w:val="none"/>
        </w:rPr>
      </w:pPr>
    </w:p>
    <w:p w14:paraId="2DE02305">
      <w:pPr>
        <w:spacing w:line="360" w:lineRule="auto"/>
        <w:ind w:firstLine="420" w:firstLineChars="200"/>
        <w:rPr>
          <w:rFonts w:ascii="Times New Roman" w:hAnsi="Times New Roman" w:cs="Times New Roman"/>
          <w:color w:val="000000"/>
          <w:szCs w:val="21"/>
          <w:highlight w:val="none"/>
        </w:rPr>
      </w:pPr>
    </w:p>
    <w:p w14:paraId="3C8EA8E5">
      <w:pPr>
        <w:spacing w:line="360" w:lineRule="auto"/>
        <w:jc w:val="right"/>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名称：________________(盖单位章)</w:t>
      </w:r>
    </w:p>
    <w:p w14:paraId="578DAD59">
      <w:pPr>
        <w:spacing w:line="360" w:lineRule="auto"/>
        <w:ind w:firstLine="4935" w:firstLineChars="2350"/>
        <w:jc w:val="right"/>
        <w:rPr>
          <w:rFonts w:ascii="Times New Roman" w:hAnsi="Times New Roman" w:cs="Times New Roman"/>
          <w:color w:val="000000"/>
          <w:szCs w:val="21"/>
          <w:highlight w:val="none"/>
        </w:rPr>
      </w:pPr>
      <w:r>
        <w:rPr>
          <w:rFonts w:ascii="Times New Roman" w:hAnsi="Times New Roman" w:cs="Times New Roman"/>
          <w:color w:val="000000"/>
          <w:szCs w:val="21"/>
          <w:highlight w:val="none"/>
        </w:rPr>
        <w:t>______年_______月______日</w:t>
      </w:r>
    </w:p>
    <w:p w14:paraId="705A9280">
      <w:pPr>
        <w:spacing w:line="360" w:lineRule="auto"/>
        <w:ind w:firstLine="420" w:firstLineChars="200"/>
        <w:rPr>
          <w:rFonts w:ascii="Times New Roman" w:hAnsi="Times New Roman" w:cs="Times New Roman"/>
          <w:color w:val="000000"/>
          <w:szCs w:val="21"/>
          <w:highlight w:val="none"/>
        </w:rPr>
      </w:pPr>
    </w:p>
    <w:p w14:paraId="1D0004DC">
      <w:pPr>
        <w:spacing w:line="360" w:lineRule="auto"/>
        <w:ind w:firstLine="420" w:firstLineChars="200"/>
        <w:rPr>
          <w:rFonts w:ascii="Times New Roman" w:hAnsi="Times New Roman" w:cs="Times New Roman"/>
          <w:color w:val="000000"/>
          <w:szCs w:val="21"/>
          <w:highlight w:val="none"/>
        </w:rPr>
      </w:pPr>
    </w:p>
    <w:p w14:paraId="505DF063">
      <w:pPr>
        <w:spacing w:line="360" w:lineRule="auto"/>
        <w:ind w:firstLine="420" w:firstLineChars="200"/>
        <w:rPr>
          <w:rFonts w:ascii="Times New Roman" w:hAnsi="Times New Roman" w:cs="Times New Roman"/>
          <w:color w:val="000000"/>
          <w:szCs w:val="21"/>
          <w:highlight w:val="none"/>
        </w:rPr>
      </w:pPr>
    </w:p>
    <w:p w14:paraId="78CA1392">
      <w:pPr>
        <w:spacing w:line="360" w:lineRule="auto"/>
        <w:ind w:firstLine="420" w:firstLineChars="200"/>
        <w:rPr>
          <w:rFonts w:ascii="Times New Roman" w:hAnsi="Times New Roman" w:cs="Times New Roman"/>
          <w:color w:val="000000"/>
          <w:szCs w:val="21"/>
          <w:highlight w:val="none"/>
        </w:rPr>
      </w:pPr>
    </w:p>
    <w:p w14:paraId="77A5F482">
      <w:pPr>
        <w:spacing w:line="360" w:lineRule="auto"/>
        <w:ind w:firstLine="420" w:firstLineChars="200"/>
        <w:rPr>
          <w:rFonts w:ascii="Times New Roman" w:hAnsi="Times New Roman" w:cs="Times New Roman"/>
          <w:color w:val="000000"/>
          <w:szCs w:val="21"/>
          <w:highlight w:val="none"/>
        </w:rPr>
      </w:pPr>
    </w:p>
    <w:p w14:paraId="4F14B98C">
      <w:pPr>
        <w:spacing w:line="360" w:lineRule="auto"/>
        <w:ind w:firstLine="420" w:firstLineChars="200"/>
        <w:rPr>
          <w:rFonts w:ascii="Times New Roman" w:hAnsi="Times New Roman" w:cs="Times New Roman"/>
          <w:color w:val="000000"/>
          <w:szCs w:val="21"/>
          <w:highlight w:val="none"/>
        </w:rPr>
      </w:pPr>
    </w:p>
    <w:p w14:paraId="02C62966">
      <w:pPr>
        <w:spacing w:line="360" w:lineRule="auto"/>
        <w:ind w:firstLine="420" w:firstLineChars="200"/>
        <w:rPr>
          <w:rFonts w:ascii="Times New Roman" w:hAnsi="Times New Roman" w:cs="Times New Roman"/>
          <w:color w:val="000000"/>
          <w:szCs w:val="21"/>
          <w:highlight w:val="none"/>
        </w:rPr>
      </w:pPr>
    </w:p>
    <w:p w14:paraId="25AF37C7">
      <w:pPr>
        <w:spacing w:line="360" w:lineRule="auto"/>
        <w:jc w:val="center"/>
        <w:rPr>
          <w:rFonts w:ascii="Times New Roman" w:hAnsi="Times New Roman" w:cs="Times New Roman"/>
          <w:b/>
          <w:color w:val="000000"/>
          <w:sz w:val="24"/>
          <w:highlight w:val="none"/>
        </w:rPr>
      </w:pPr>
    </w:p>
    <w:p w14:paraId="60D55E3D">
      <w:pPr>
        <w:widowControl/>
        <w:spacing w:line="360" w:lineRule="auto"/>
        <w:jc w:val="left"/>
        <w:rPr>
          <w:rFonts w:ascii="Times New Roman" w:hAnsi="Times New Roman" w:cs="Times New Roman"/>
          <w:b/>
          <w:color w:val="000000"/>
          <w:sz w:val="24"/>
          <w:highlight w:val="none"/>
        </w:rPr>
      </w:pPr>
      <w:r>
        <w:rPr>
          <w:rFonts w:ascii="Times New Roman" w:hAnsi="Times New Roman" w:cs="Times New Roman"/>
          <w:b/>
          <w:color w:val="000000"/>
          <w:sz w:val="24"/>
          <w:highlight w:val="none"/>
        </w:rPr>
        <w:br w:type="page"/>
      </w:r>
    </w:p>
    <w:p w14:paraId="19E6A2F6">
      <w:pPr>
        <w:pStyle w:val="4"/>
        <w:jc w:val="center"/>
        <w:rPr>
          <w:rFonts w:hint="eastAsia" w:eastAsia="宋体"/>
          <w:b w:val="0"/>
          <w:color w:val="000000"/>
          <w:sz w:val="28"/>
          <w:szCs w:val="28"/>
          <w:highlight w:val="none"/>
          <w:lang w:eastAsia="zh-CN"/>
        </w:rPr>
      </w:pPr>
      <w:r>
        <w:rPr>
          <w:color w:val="000000"/>
          <w:sz w:val="28"/>
          <w:szCs w:val="28"/>
          <w:highlight w:val="none"/>
        </w:rPr>
        <w:t>三、授权委托书</w:t>
      </w:r>
    </w:p>
    <w:p w14:paraId="32878134">
      <w:pPr>
        <w:spacing w:line="360" w:lineRule="auto"/>
        <w:ind w:left="359" w:leftChars="171" w:firstLine="420" w:firstLineChars="200"/>
        <w:rPr>
          <w:rFonts w:ascii="Times New Roman" w:hAnsi="Times New Roman" w:cs="Times New Roman"/>
          <w:color w:val="000000"/>
          <w:szCs w:val="21"/>
          <w:highlight w:val="none"/>
        </w:rPr>
      </w:pPr>
    </w:p>
    <w:p w14:paraId="5578AA04">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本人</w:t>
      </w:r>
      <w:r>
        <w:rPr>
          <w:rFonts w:ascii="Times New Roman" w:hAnsi="Times New Roman" w:cs="Times New Roman"/>
          <w:color w:val="000000"/>
          <w:szCs w:val="21"/>
          <w:highlight w:val="none"/>
          <w:u w:val="single"/>
        </w:rPr>
        <w:t xml:space="preserve">          </w:t>
      </w:r>
      <w:r>
        <w:rPr>
          <w:rFonts w:ascii="Times New Roman" w:hAnsi="Times New Roman" w:cs="Times New Roman"/>
          <w:color w:val="000000"/>
          <w:szCs w:val="21"/>
          <w:highlight w:val="none"/>
        </w:rPr>
        <w:t>系</w:t>
      </w:r>
      <w:r>
        <w:rPr>
          <w:rFonts w:hint="eastAsia" w:ascii="Times New Roman" w:hAnsi="Times New Roman" w:cs="Times New Roman"/>
          <w:color w:val="000000"/>
          <w:szCs w:val="21"/>
          <w:highlight w:val="none"/>
          <w:lang w:val="en-US" w:eastAsia="zh-CN"/>
        </w:rPr>
        <w:t xml:space="preserve"> </w:t>
      </w:r>
      <w:r>
        <w:rPr>
          <w:rFonts w:hint="eastAsia" w:ascii="Times New Roman" w:hAnsi="Times New Roman" w:cs="Times New Roman"/>
          <w:color w:val="auto"/>
          <w:szCs w:val="21"/>
          <w:highlight w:val="none"/>
          <w:lang w:val="en-US" w:eastAsia="zh-CN"/>
        </w:rPr>
        <w:t xml:space="preserve"> </w:t>
      </w:r>
      <w:r>
        <w:rPr>
          <w:rFonts w:ascii="Times New Roman" w:hAnsi="Times New Roman" w:cs="Times New Roman"/>
          <w:color w:val="auto"/>
          <w:szCs w:val="21"/>
          <w:highlight w:val="none"/>
          <w:u w:val="single"/>
        </w:rPr>
        <w:t>（</w:t>
      </w:r>
      <w:r>
        <w:rPr>
          <w:rFonts w:hint="eastAsia" w:ascii="Times New Roman" w:hAnsi="Times New Roman" w:cs="Times New Roman"/>
          <w:color w:val="auto"/>
          <w:szCs w:val="21"/>
          <w:highlight w:val="none"/>
          <w:u w:val="single"/>
        </w:rPr>
        <w:t>比选申请人</w:t>
      </w:r>
      <w:r>
        <w:rPr>
          <w:rFonts w:ascii="Times New Roman" w:hAnsi="Times New Roman" w:cs="Times New Roman"/>
          <w:color w:val="auto"/>
          <w:szCs w:val="21"/>
          <w:highlight w:val="none"/>
          <w:u w:val="single"/>
        </w:rPr>
        <w:t>名称）</w:t>
      </w:r>
      <w:r>
        <w:rPr>
          <w:rFonts w:hint="eastAsia" w:ascii="Times New Roman" w:hAnsi="Times New Roman" w:cs="Times New Roman"/>
          <w:color w:val="auto"/>
          <w:szCs w:val="21"/>
          <w:highlight w:val="none"/>
          <w:u w:val="single"/>
          <w:lang w:val="en-US" w:eastAsia="zh-CN"/>
        </w:rPr>
        <w:t xml:space="preserve">  </w:t>
      </w:r>
      <w:r>
        <w:rPr>
          <w:rFonts w:ascii="Times New Roman" w:hAnsi="Times New Roman" w:cs="Times New Roman"/>
          <w:color w:val="auto"/>
          <w:szCs w:val="21"/>
          <w:highlight w:val="none"/>
        </w:rPr>
        <w:t>的</w:t>
      </w:r>
      <w:r>
        <w:rPr>
          <w:rFonts w:ascii="Times New Roman" w:hAnsi="Times New Roman" w:cs="Times New Roman"/>
          <w:color w:val="000000"/>
          <w:szCs w:val="21"/>
          <w:highlight w:val="none"/>
        </w:rPr>
        <w:t>法定代表人，现委托本单位人员</w:t>
      </w:r>
      <w:r>
        <w:rPr>
          <w:rFonts w:ascii="Times New Roman" w:hAnsi="Times New Roman" w:cs="Times New Roman"/>
          <w:color w:val="000000"/>
          <w:szCs w:val="21"/>
          <w:highlight w:val="none"/>
          <w:u w:val="single"/>
        </w:rPr>
        <w:t xml:space="preserve">         </w:t>
      </w:r>
      <w:r>
        <w:rPr>
          <w:rFonts w:ascii="Times New Roman" w:hAnsi="Times New Roman" w:cs="Times New Roman"/>
          <w:color w:val="000000"/>
          <w:szCs w:val="21"/>
          <w:highlight w:val="none"/>
        </w:rPr>
        <w:t>为我方代理人，委托代理人身份证号</w:t>
      </w:r>
      <w:r>
        <w:rPr>
          <w:rFonts w:ascii="Times New Roman" w:hAnsi="Times New Roman" w:cs="Times New Roman"/>
          <w:color w:val="000000"/>
          <w:szCs w:val="21"/>
          <w:highlight w:val="none"/>
          <w:u w:val="single"/>
        </w:rPr>
        <w:t xml:space="preserve">                         </w:t>
      </w:r>
      <w:r>
        <w:rPr>
          <w:rFonts w:ascii="Times New Roman" w:hAnsi="Times New Roman" w:cs="Times New Roman"/>
          <w:color w:val="000000"/>
          <w:szCs w:val="21"/>
          <w:highlight w:val="none"/>
        </w:rPr>
        <w:t>。代理人根据授权，在本项目</w:t>
      </w:r>
      <w:r>
        <w:rPr>
          <w:rFonts w:hint="eastAsia" w:ascii="Times New Roman" w:hAnsi="Times New Roman" w:cs="Times New Roman"/>
          <w:color w:val="000000"/>
          <w:szCs w:val="21"/>
          <w:highlight w:val="none"/>
        </w:rPr>
        <w:t>比选</w:t>
      </w:r>
      <w:r>
        <w:rPr>
          <w:rFonts w:ascii="Times New Roman" w:hAnsi="Times New Roman" w:cs="Times New Roman"/>
          <w:color w:val="000000"/>
          <w:szCs w:val="21"/>
          <w:highlight w:val="none"/>
        </w:rPr>
        <w:t>、</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、评审、合同签署等活动过程中所签署的一切文件和处理与之有关的一切事务（向有关行政监督部门投诉另行授权），其法律后果由我方承担。</w:t>
      </w:r>
    </w:p>
    <w:p w14:paraId="71A874C7">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委托期限：</w:t>
      </w:r>
      <w:r>
        <w:rPr>
          <w:rFonts w:ascii="Times New Roman" w:hAnsi="Times New Roman" w:cs="Times New Roman"/>
          <w:color w:val="000000"/>
          <w:highlight w:val="none"/>
        </w:rPr>
        <w:t>自本授权委托书签署之日起至</w:t>
      </w:r>
      <w:r>
        <w:rPr>
          <w:rFonts w:hint="eastAsia" w:ascii="Times New Roman" w:hAnsi="Times New Roman" w:cs="Times New Roman"/>
          <w:color w:val="000000"/>
          <w:highlight w:val="none"/>
        </w:rPr>
        <w:t>比选</w:t>
      </w:r>
      <w:r>
        <w:rPr>
          <w:rFonts w:ascii="Times New Roman" w:hAnsi="Times New Roman" w:cs="Times New Roman"/>
          <w:color w:val="000000"/>
          <w:highlight w:val="none"/>
        </w:rPr>
        <w:t>文件第二章“</w:t>
      </w:r>
      <w:r>
        <w:rPr>
          <w:rFonts w:hint="eastAsia" w:ascii="Times New Roman" w:hAnsi="Times New Roman" w:cs="Times New Roman"/>
          <w:color w:val="000000"/>
          <w:highlight w:val="none"/>
        </w:rPr>
        <w:t>比选申请人</w:t>
      </w:r>
      <w:r>
        <w:rPr>
          <w:rFonts w:ascii="Times New Roman" w:hAnsi="Times New Roman" w:cs="Times New Roman"/>
          <w:color w:val="000000"/>
          <w:highlight w:val="none"/>
        </w:rPr>
        <w:t>须知”前附表第24项规定的“</w:t>
      </w:r>
      <w:r>
        <w:rPr>
          <w:rFonts w:hint="eastAsia" w:ascii="Times New Roman" w:hAnsi="Times New Roman" w:cs="Times New Roman"/>
          <w:color w:val="000000"/>
          <w:highlight w:val="none"/>
        </w:rPr>
        <w:t>比选申请</w:t>
      </w:r>
      <w:r>
        <w:rPr>
          <w:rFonts w:ascii="Times New Roman" w:hAnsi="Times New Roman" w:cs="Times New Roman"/>
          <w:color w:val="000000"/>
          <w:highlight w:val="none"/>
        </w:rPr>
        <w:t xml:space="preserve">有效期”结束为止。  </w:t>
      </w:r>
    </w:p>
    <w:p w14:paraId="019FF28B">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委托代理人无转委托权。</w:t>
      </w:r>
    </w:p>
    <w:p w14:paraId="38B8EFEB">
      <w:pPr>
        <w:spacing w:line="360" w:lineRule="auto"/>
        <w:ind w:left="359" w:leftChars="171" w:firstLine="420" w:firstLineChars="200"/>
        <w:rPr>
          <w:rFonts w:ascii="Times New Roman" w:hAnsi="Times New Roman" w:cs="Times New Roman"/>
          <w:color w:val="000000"/>
          <w:szCs w:val="21"/>
          <w:highlight w:val="none"/>
        </w:rPr>
      </w:pPr>
    </w:p>
    <w:p w14:paraId="7F143CC7">
      <w:pPr>
        <w:spacing w:line="360" w:lineRule="auto"/>
        <w:ind w:firstLine="420" w:firstLineChars="200"/>
        <w:rPr>
          <w:rFonts w:ascii="Times New Roman" w:hAnsi="Times New Roman" w:cs="Times New Roman"/>
          <w:color w:val="000000"/>
          <w:szCs w:val="21"/>
          <w:highlight w:val="none"/>
        </w:rPr>
      </w:pPr>
      <w:r>
        <w:rPr>
          <w:rFonts w:ascii="Times New Roman" w:hAnsi="Times New Roman" w:cs="Times New Roman"/>
          <w:color w:val="000000"/>
          <w:szCs w:val="21"/>
          <w:highlight w:val="none"/>
        </w:rPr>
        <w:t>附：</w:t>
      </w:r>
      <w:r>
        <w:rPr>
          <w:rFonts w:ascii="Times New Roman" w:hAnsi="Times New Roman" w:cs="Times New Roman"/>
          <w:szCs w:val="21"/>
          <w:highlight w:val="none"/>
        </w:rPr>
        <w:t>法定代表人身份证（正反面）复印件或扫描件、</w:t>
      </w:r>
      <w:r>
        <w:rPr>
          <w:rFonts w:ascii="Times New Roman" w:hAnsi="Times New Roman" w:cs="Times New Roman"/>
          <w:color w:val="000000"/>
          <w:szCs w:val="21"/>
          <w:highlight w:val="none"/>
        </w:rPr>
        <w:t>委托代理人身份证（正反面）复印件或扫描件。</w:t>
      </w:r>
    </w:p>
    <w:p w14:paraId="633A9785">
      <w:pPr>
        <w:spacing w:line="360" w:lineRule="auto"/>
        <w:ind w:left="359" w:leftChars="171" w:firstLine="420" w:firstLineChars="200"/>
        <w:rPr>
          <w:rFonts w:ascii="Times New Roman" w:hAnsi="Times New Roman" w:cs="Times New Roman"/>
          <w:color w:val="000000"/>
          <w:szCs w:val="21"/>
          <w:highlight w:val="none"/>
        </w:rPr>
      </w:pPr>
    </w:p>
    <w:p w14:paraId="66B3E68C">
      <w:pPr>
        <w:spacing w:line="360" w:lineRule="auto"/>
        <w:ind w:left="359" w:leftChars="171" w:firstLine="420" w:firstLineChars="200"/>
        <w:rPr>
          <w:rFonts w:ascii="Times New Roman" w:hAnsi="Times New Roman" w:cs="Times New Roman"/>
          <w:color w:val="000000"/>
          <w:szCs w:val="21"/>
          <w:highlight w:val="none"/>
        </w:rPr>
      </w:pPr>
    </w:p>
    <w:p w14:paraId="1BD492B3">
      <w:pPr>
        <w:spacing w:line="360" w:lineRule="auto"/>
        <w:ind w:left="359" w:leftChars="171" w:firstLine="420" w:firstLineChars="200"/>
        <w:rPr>
          <w:rFonts w:ascii="Times New Roman" w:hAnsi="Times New Roman" w:cs="Times New Roman"/>
          <w:color w:val="000000"/>
          <w:szCs w:val="21"/>
          <w:highlight w:val="none"/>
        </w:rPr>
      </w:pPr>
    </w:p>
    <w:p w14:paraId="52057407">
      <w:pPr>
        <w:spacing w:line="360" w:lineRule="auto"/>
        <w:ind w:firstLine="3150" w:firstLineChars="1500"/>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              </w:t>
      </w:r>
      <w:r>
        <w:rPr>
          <w:rFonts w:hint="eastAsia" w:ascii="Times New Roman" w:hAnsi="Times New Roman" w:cs="Times New Roman"/>
          <w:color w:val="000000"/>
          <w:szCs w:val="21"/>
          <w:highlight w:val="none"/>
        </w:rPr>
        <w:t>比选申请人名称</w:t>
      </w:r>
      <w:r>
        <w:rPr>
          <w:rFonts w:ascii="Times New Roman" w:hAnsi="Times New Roman" w:cs="Times New Roman"/>
          <w:color w:val="000000"/>
          <w:szCs w:val="21"/>
          <w:highlight w:val="none"/>
        </w:rPr>
        <w:t>：</w:t>
      </w:r>
      <w:r>
        <w:rPr>
          <w:rFonts w:ascii="Times New Roman" w:hAnsi="Times New Roman" w:cs="Times New Roman"/>
          <w:color w:val="000000"/>
          <w:sz w:val="28"/>
          <w:highlight w:val="none"/>
        </w:rPr>
        <w:t>________</w:t>
      </w:r>
      <w:r>
        <w:rPr>
          <w:rFonts w:ascii="Times New Roman" w:hAnsi="Times New Roman" w:cs="Times New Roman"/>
          <w:color w:val="000000"/>
          <w:szCs w:val="21"/>
          <w:highlight w:val="none"/>
        </w:rPr>
        <w:t>（盖单位章）</w:t>
      </w:r>
    </w:p>
    <w:p w14:paraId="08B49D57">
      <w:pPr>
        <w:spacing w:line="360" w:lineRule="auto"/>
        <w:ind w:firstLine="3150" w:firstLineChars="1500"/>
        <w:jc w:val="right"/>
        <w:rPr>
          <w:rFonts w:ascii="Times New Roman" w:hAnsi="Times New Roman" w:cs="Times New Roman"/>
          <w:color w:val="000000"/>
          <w:szCs w:val="21"/>
          <w:highlight w:val="none"/>
        </w:rPr>
      </w:pPr>
      <w:r>
        <w:rPr>
          <w:rFonts w:ascii="Times New Roman" w:hAnsi="Times New Roman" w:cs="Times New Roman"/>
          <w:color w:val="000000"/>
          <w:szCs w:val="21"/>
          <w:highlight w:val="none"/>
        </w:rPr>
        <w:t>法定代表人：</w:t>
      </w:r>
      <w:r>
        <w:rPr>
          <w:rFonts w:ascii="Times New Roman" w:hAnsi="Times New Roman" w:cs="Times New Roman"/>
          <w:color w:val="000000"/>
          <w:sz w:val="28"/>
          <w:highlight w:val="none"/>
        </w:rPr>
        <w:t>________</w:t>
      </w:r>
      <w:r>
        <w:rPr>
          <w:rFonts w:ascii="Times New Roman" w:hAnsi="Times New Roman" w:cs="Times New Roman"/>
          <w:color w:val="000000"/>
          <w:szCs w:val="21"/>
          <w:highlight w:val="none"/>
        </w:rPr>
        <w:t>（签字</w:t>
      </w:r>
      <w:r>
        <w:rPr>
          <w:rFonts w:hint="eastAsia" w:ascii="Times New Roman" w:hAnsi="Times New Roman" w:cs="Times New Roman"/>
          <w:color w:val="000000"/>
          <w:szCs w:val="21"/>
          <w:highlight w:val="none"/>
          <w:lang w:val="en-US" w:eastAsia="zh-CN"/>
        </w:rPr>
        <w:t>或盖章</w:t>
      </w:r>
      <w:r>
        <w:rPr>
          <w:rFonts w:ascii="Times New Roman" w:hAnsi="Times New Roman" w:cs="Times New Roman"/>
          <w:color w:val="000000"/>
          <w:szCs w:val="21"/>
          <w:highlight w:val="none"/>
        </w:rPr>
        <w:t>）</w:t>
      </w:r>
    </w:p>
    <w:p w14:paraId="3C6FF208">
      <w:pPr>
        <w:spacing w:line="360" w:lineRule="auto"/>
        <w:ind w:firstLine="3150" w:firstLineChars="1500"/>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 xml:space="preserve">          </w:t>
      </w:r>
      <w:r>
        <w:rPr>
          <w:rFonts w:hint="eastAsia" w:ascii="Times New Roman" w:hAnsi="Times New Roman" w:cs="Times New Roman"/>
          <w:color w:val="000000"/>
          <w:szCs w:val="21"/>
          <w:highlight w:val="none"/>
        </w:rPr>
        <w:t xml:space="preserve">         </w:t>
      </w:r>
      <w:r>
        <w:rPr>
          <w:rFonts w:ascii="Times New Roman" w:hAnsi="Times New Roman" w:cs="Times New Roman"/>
          <w:color w:val="000000"/>
          <w:szCs w:val="21"/>
          <w:highlight w:val="none"/>
        </w:rPr>
        <w:t xml:space="preserve"> 委托代理人：</w:t>
      </w:r>
      <w:r>
        <w:rPr>
          <w:rFonts w:ascii="Times New Roman" w:hAnsi="Times New Roman" w:cs="Times New Roman"/>
          <w:color w:val="000000"/>
          <w:sz w:val="28"/>
          <w:highlight w:val="none"/>
        </w:rPr>
        <w:t>_________</w:t>
      </w:r>
      <w:r>
        <w:rPr>
          <w:rFonts w:ascii="Times New Roman" w:hAnsi="Times New Roman" w:cs="Times New Roman"/>
          <w:color w:val="000000"/>
          <w:szCs w:val="21"/>
          <w:highlight w:val="none"/>
        </w:rPr>
        <w:t>（签字）</w:t>
      </w:r>
    </w:p>
    <w:p w14:paraId="70A4648B">
      <w:pPr>
        <w:spacing w:line="360" w:lineRule="auto"/>
        <w:ind w:left="359" w:leftChars="171" w:firstLine="5355" w:firstLineChars="2550"/>
        <w:rPr>
          <w:rFonts w:ascii="Times New Roman" w:hAnsi="Times New Roman" w:cs="Times New Roman"/>
          <w:color w:val="000000"/>
          <w:szCs w:val="21"/>
          <w:highlight w:val="none"/>
        </w:rPr>
      </w:pPr>
    </w:p>
    <w:p w14:paraId="32425D74">
      <w:pPr>
        <w:spacing w:line="360" w:lineRule="auto"/>
        <w:jc w:val="right"/>
        <w:rPr>
          <w:rFonts w:ascii="Times New Roman" w:hAnsi="Times New Roman" w:cs="Times New Roman"/>
          <w:color w:val="000000"/>
          <w:szCs w:val="21"/>
          <w:highlight w:val="none"/>
        </w:rPr>
      </w:pPr>
      <w:r>
        <w:rPr>
          <w:rFonts w:ascii="Times New Roman" w:hAnsi="Times New Roman" w:cs="Times New Roman"/>
          <w:color w:val="000000"/>
          <w:sz w:val="28"/>
          <w:highlight w:val="none"/>
        </w:rPr>
        <w:t>_____</w:t>
      </w:r>
      <w:r>
        <w:rPr>
          <w:rFonts w:ascii="Times New Roman" w:hAnsi="Times New Roman" w:cs="Times New Roman"/>
          <w:color w:val="000000"/>
          <w:szCs w:val="21"/>
          <w:highlight w:val="none"/>
        </w:rPr>
        <w:t>年</w:t>
      </w:r>
      <w:r>
        <w:rPr>
          <w:rFonts w:ascii="Times New Roman" w:hAnsi="Times New Roman" w:cs="Times New Roman"/>
          <w:color w:val="000000"/>
          <w:sz w:val="28"/>
          <w:highlight w:val="none"/>
        </w:rPr>
        <w:t>____</w:t>
      </w:r>
      <w:r>
        <w:rPr>
          <w:rFonts w:ascii="Times New Roman" w:hAnsi="Times New Roman" w:cs="Times New Roman"/>
          <w:color w:val="000000"/>
          <w:szCs w:val="21"/>
          <w:highlight w:val="none"/>
        </w:rPr>
        <w:t>月</w:t>
      </w:r>
      <w:r>
        <w:rPr>
          <w:rFonts w:ascii="Times New Roman" w:hAnsi="Times New Roman" w:cs="Times New Roman"/>
          <w:color w:val="000000"/>
          <w:sz w:val="28"/>
          <w:highlight w:val="none"/>
        </w:rPr>
        <w:t>____</w:t>
      </w:r>
      <w:r>
        <w:rPr>
          <w:rFonts w:ascii="Times New Roman" w:hAnsi="Times New Roman" w:cs="Times New Roman"/>
          <w:color w:val="000000"/>
          <w:szCs w:val="21"/>
          <w:highlight w:val="none"/>
        </w:rPr>
        <w:t>日</w:t>
      </w:r>
    </w:p>
    <w:p w14:paraId="73F238D0">
      <w:pPr>
        <w:spacing w:line="360" w:lineRule="auto"/>
        <w:ind w:left="359" w:leftChars="171" w:firstLine="5040" w:firstLineChars="2400"/>
        <w:rPr>
          <w:rFonts w:ascii="Times New Roman" w:hAnsi="Times New Roman" w:cs="Times New Roman"/>
          <w:color w:val="000000"/>
          <w:szCs w:val="21"/>
          <w:highlight w:val="none"/>
        </w:rPr>
      </w:pPr>
    </w:p>
    <w:p w14:paraId="27DF0CEA">
      <w:pPr>
        <w:spacing w:line="360" w:lineRule="auto"/>
        <w:ind w:left="359" w:leftChars="171" w:firstLine="5040" w:firstLineChars="2400"/>
        <w:rPr>
          <w:rFonts w:ascii="Times New Roman" w:hAnsi="Times New Roman" w:cs="Times New Roman"/>
          <w:color w:val="000000"/>
          <w:szCs w:val="21"/>
          <w:highlight w:val="none"/>
        </w:rPr>
      </w:pPr>
    </w:p>
    <w:p w14:paraId="7F67D14C">
      <w:pPr>
        <w:spacing w:line="360" w:lineRule="auto"/>
        <w:ind w:left="359" w:leftChars="171" w:firstLine="5040" w:firstLineChars="2400"/>
        <w:rPr>
          <w:rFonts w:ascii="Times New Roman" w:hAnsi="Times New Roman" w:cs="Times New Roman"/>
          <w:color w:val="000000"/>
          <w:szCs w:val="21"/>
          <w:highlight w:val="none"/>
        </w:rPr>
      </w:pPr>
    </w:p>
    <w:p w14:paraId="2625795B">
      <w:pPr>
        <w:spacing w:line="360" w:lineRule="auto"/>
        <w:ind w:left="359" w:leftChars="171" w:firstLine="5040" w:firstLineChars="2400"/>
        <w:rPr>
          <w:rFonts w:ascii="Times New Roman" w:hAnsi="Times New Roman" w:cs="Times New Roman"/>
          <w:color w:val="000000"/>
          <w:szCs w:val="21"/>
          <w:highlight w:val="none"/>
        </w:rPr>
      </w:pPr>
    </w:p>
    <w:p w14:paraId="6F169B8B">
      <w:pPr>
        <w:spacing w:line="360" w:lineRule="auto"/>
        <w:rPr>
          <w:rFonts w:ascii="Times New Roman" w:hAnsi="Times New Roman" w:cs="Times New Roman"/>
          <w:color w:val="000000"/>
          <w:szCs w:val="21"/>
          <w:highlight w:val="none"/>
        </w:rPr>
      </w:pPr>
    </w:p>
    <w:p w14:paraId="045548B8">
      <w:pPr>
        <w:spacing w:line="360" w:lineRule="auto"/>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t>注：</w:t>
      </w:r>
      <w:r>
        <w:rPr>
          <w:rFonts w:hint="eastAsia" w:ascii="Times New Roman" w:hAnsi="Times New Roman" w:cs="Times New Roman"/>
          <w:color w:val="000000"/>
          <w:szCs w:val="21"/>
          <w:highlight w:val="none"/>
        </w:rPr>
        <w:t>（1）</w:t>
      </w:r>
      <w:r>
        <w:rPr>
          <w:rFonts w:ascii="Times New Roman" w:hAnsi="Times New Roman" w:cs="Times New Roman"/>
          <w:color w:val="000000"/>
          <w:szCs w:val="21"/>
          <w:highlight w:val="none"/>
        </w:rPr>
        <w:t>法定代表人不亲自</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委托代理人</w:t>
      </w:r>
      <w:r>
        <w:rPr>
          <w:rFonts w:hint="eastAsia" w:ascii="Times New Roman" w:hAnsi="Times New Roman" w:cs="Times New Roman"/>
          <w:color w:val="000000"/>
          <w:szCs w:val="21"/>
          <w:highlight w:val="none"/>
        </w:rPr>
        <w:t>比选申请</w:t>
      </w:r>
      <w:r>
        <w:rPr>
          <w:rFonts w:ascii="Times New Roman" w:hAnsi="Times New Roman" w:cs="Times New Roman"/>
          <w:color w:val="000000"/>
          <w:szCs w:val="21"/>
          <w:highlight w:val="none"/>
        </w:rPr>
        <w:t>的独立</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适用。</w:t>
      </w:r>
    </w:p>
    <w:p w14:paraId="6B85721B">
      <w:pPr>
        <w:pStyle w:val="8"/>
        <w:ind w:firstLine="210" w:firstLineChars="100"/>
        <w:rPr>
          <w:highlight w:val="none"/>
        </w:rPr>
      </w:pPr>
      <w:r>
        <w:rPr>
          <w:rFonts w:hint="eastAsia"/>
          <w:color w:val="000000"/>
          <w:szCs w:val="21"/>
          <w:highlight w:val="none"/>
        </w:rPr>
        <w:t xml:space="preserve">  （2）</w:t>
      </w:r>
      <w:r>
        <w:rPr>
          <w:color w:val="000000"/>
          <w:szCs w:val="21"/>
          <w:highlight w:val="none"/>
        </w:rPr>
        <w:t>法定代表人亲自</w:t>
      </w:r>
      <w:r>
        <w:rPr>
          <w:rFonts w:hint="eastAsia"/>
          <w:color w:val="000000"/>
          <w:szCs w:val="21"/>
          <w:highlight w:val="none"/>
        </w:rPr>
        <w:t>比选申请的，</w:t>
      </w:r>
      <w:r>
        <w:rPr>
          <w:color w:val="000000"/>
          <w:szCs w:val="21"/>
          <w:highlight w:val="none"/>
        </w:rPr>
        <w:t>不需</w:t>
      </w:r>
      <w:r>
        <w:rPr>
          <w:rFonts w:hint="eastAsia"/>
          <w:color w:val="000000"/>
          <w:szCs w:val="21"/>
          <w:highlight w:val="none"/>
        </w:rPr>
        <w:t>提供授权委托书</w:t>
      </w:r>
      <w:r>
        <w:rPr>
          <w:color w:val="000000"/>
          <w:szCs w:val="21"/>
          <w:highlight w:val="none"/>
        </w:rPr>
        <w:t>，</w:t>
      </w:r>
      <w:r>
        <w:rPr>
          <w:rFonts w:hint="eastAsia"/>
          <w:color w:val="000000"/>
          <w:szCs w:val="21"/>
          <w:highlight w:val="none"/>
          <w:lang w:val="en-US" w:eastAsia="zh-CN"/>
        </w:rPr>
        <w:t>可不填写</w:t>
      </w:r>
      <w:r>
        <w:rPr>
          <w:color w:val="000000"/>
          <w:szCs w:val="21"/>
          <w:highlight w:val="none"/>
        </w:rPr>
        <w:t>。</w:t>
      </w:r>
    </w:p>
    <w:p w14:paraId="3CC04516">
      <w:pPr>
        <w:pStyle w:val="8"/>
        <w:rPr>
          <w:highlight w:val="none"/>
        </w:rPr>
      </w:pPr>
    </w:p>
    <w:p w14:paraId="46FF2348">
      <w:pPr>
        <w:widowControl/>
        <w:spacing w:line="360" w:lineRule="auto"/>
        <w:jc w:val="left"/>
        <w:rPr>
          <w:rFonts w:ascii="Times New Roman" w:hAnsi="Times New Roman" w:cs="Times New Roman"/>
          <w:color w:val="000000"/>
          <w:highlight w:val="none"/>
        </w:rPr>
      </w:pPr>
      <w:r>
        <w:rPr>
          <w:rFonts w:ascii="Times New Roman" w:hAnsi="Times New Roman" w:cs="Times New Roman"/>
          <w:color w:val="000000"/>
          <w:highlight w:val="none"/>
        </w:rPr>
        <w:br w:type="page"/>
      </w:r>
    </w:p>
    <w:p w14:paraId="55311DC8">
      <w:pPr>
        <w:pStyle w:val="4"/>
        <w:jc w:val="center"/>
        <w:rPr>
          <w:bCs w:val="0"/>
          <w:color w:val="000000"/>
          <w:sz w:val="28"/>
          <w:szCs w:val="28"/>
          <w:highlight w:val="none"/>
        </w:rPr>
      </w:pPr>
      <w:r>
        <w:rPr>
          <w:rFonts w:hint="eastAsia"/>
          <w:bCs w:val="0"/>
          <w:color w:val="000000"/>
          <w:sz w:val="28"/>
          <w:szCs w:val="28"/>
          <w:highlight w:val="none"/>
          <w:lang w:val="en-US" w:eastAsia="zh-CN"/>
        </w:rPr>
        <w:t>四</w:t>
      </w:r>
      <w:r>
        <w:rPr>
          <w:bCs w:val="0"/>
          <w:color w:val="000000"/>
          <w:sz w:val="28"/>
          <w:szCs w:val="28"/>
          <w:highlight w:val="none"/>
        </w:rPr>
        <w:t>、项目管理机构</w:t>
      </w:r>
    </w:p>
    <w:p w14:paraId="0BB61870">
      <w:pPr>
        <w:pStyle w:val="5"/>
        <w:spacing w:before="280" w:after="290"/>
        <w:ind w:left="359" w:leftChars="171"/>
        <w:jc w:val="center"/>
        <w:rPr>
          <w:rFonts w:ascii="Times New Roman" w:hAnsi="Times New Roman"/>
          <w:color w:val="000000"/>
          <w:szCs w:val="21"/>
          <w:highlight w:val="none"/>
        </w:rPr>
      </w:pPr>
      <w:r>
        <w:rPr>
          <w:rFonts w:ascii="Times New Roman" w:hAnsi="Times New Roman"/>
          <w:color w:val="000000"/>
          <w:sz w:val="28"/>
          <w:highlight w:val="none"/>
        </w:rPr>
        <w:t>(一)项目管理机构组成表</w:t>
      </w:r>
    </w:p>
    <w:tbl>
      <w:tblPr>
        <w:tblStyle w:val="15"/>
        <w:tblW w:w="9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37"/>
        <w:gridCol w:w="1696"/>
        <w:gridCol w:w="1244"/>
        <w:gridCol w:w="1575"/>
        <w:gridCol w:w="1215"/>
        <w:gridCol w:w="1276"/>
        <w:gridCol w:w="1134"/>
        <w:gridCol w:w="756"/>
      </w:tblGrid>
      <w:tr w14:paraId="50934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737" w:type="dxa"/>
            <w:vMerge w:val="restart"/>
            <w:vAlign w:val="center"/>
          </w:tcPr>
          <w:p w14:paraId="0CDC5379">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序号</w:t>
            </w:r>
          </w:p>
        </w:tc>
        <w:tc>
          <w:tcPr>
            <w:tcW w:w="1696" w:type="dxa"/>
            <w:vMerge w:val="restart"/>
            <w:vAlign w:val="center"/>
          </w:tcPr>
          <w:p w14:paraId="52A9E70C">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职务</w:t>
            </w:r>
          </w:p>
        </w:tc>
        <w:tc>
          <w:tcPr>
            <w:tcW w:w="1244" w:type="dxa"/>
            <w:vMerge w:val="restart"/>
            <w:vAlign w:val="center"/>
          </w:tcPr>
          <w:p w14:paraId="6934A4FE">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姓名</w:t>
            </w:r>
          </w:p>
        </w:tc>
        <w:tc>
          <w:tcPr>
            <w:tcW w:w="2790" w:type="dxa"/>
            <w:gridSpan w:val="2"/>
            <w:vAlign w:val="center"/>
          </w:tcPr>
          <w:p w14:paraId="137E01FD">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执业或职业资格</w:t>
            </w:r>
          </w:p>
        </w:tc>
        <w:tc>
          <w:tcPr>
            <w:tcW w:w="2410" w:type="dxa"/>
            <w:gridSpan w:val="2"/>
            <w:vAlign w:val="center"/>
          </w:tcPr>
          <w:p w14:paraId="1F52E089">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职称</w:t>
            </w:r>
          </w:p>
        </w:tc>
        <w:tc>
          <w:tcPr>
            <w:tcW w:w="756" w:type="dxa"/>
            <w:vMerge w:val="restart"/>
            <w:vAlign w:val="center"/>
          </w:tcPr>
          <w:p w14:paraId="76B81C79">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备注</w:t>
            </w:r>
          </w:p>
        </w:tc>
      </w:tr>
      <w:tr w14:paraId="74B99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737" w:type="dxa"/>
            <w:vMerge w:val="continue"/>
            <w:vAlign w:val="center"/>
          </w:tcPr>
          <w:p w14:paraId="3368AEB1">
            <w:pPr>
              <w:spacing w:line="360" w:lineRule="auto"/>
              <w:jc w:val="center"/>
              <w:rPr>
                <w:rFonts w:ascii="Times New Roman" w:hAnsi="Times New Roman" w:cs="Times New Roman"/>
                <w:color w:val="000000"/>
                <w:szCs w:val="21"/>
                <w:highlight w:val="none"/>
              </w:rPr>
            </w:pPr>
          </w:p>
        </w:tc>
        <w:tc>
          <w:tcPr>
            <w:tcW w:w="1696" w:type="dxa"/>
            <w:vMerge w:val="continue"/>
            <w:vAlign w:val="center"/>
          </w:tcPr>
          <w:p w14:paraId="07DAC597">
            <w:pPr>
              <w:spacing w:line="360" w:lineRule="auto"/>
              <w:jc w:val="center"/>
              <w:rPr>
                <w:rFonts w:ascii="Times New Roman" w:hAnsi="Times New Roman" w:cs="Times New Roman"/>
                <w:color w:val="000000"/>
                <w:szCs w:val="21"/>
                <w:highlight w:val="none"/>
              </w:rPr>
            </w:pPr>
          </w:p>
        </w:tc>
        <w:tc>
          <w:tcPr>
            <w:tcW w:w="1244" w:type="dxa"/>
            <w:vMerge w:val="continue"/>
            <w:vAlign w:val="center"/>
          </w:tcPr>
          <w:p w14:paraId="06381568">
            <w:pPr>
              <w:spacing w:line="360" w:lineRule="auto"/>
              <w:jc w:val="center"/>
              <w:rPr>
                <w:rFonts w:ascii="Times New Roman" w:hAnsi="Times New Roman" w:cs="Times New Roman"/>
                <w:color w:val="000000"/>
                <w:szCs w:val="21"/>
                <w:highlight w:val="none"/>
              </w:rPr>
            </w:pPr>
          </w:p>
        </w:tc>
        <w:tc>
          <w:tcPr>
            <w:tcW w:w="1575" w:type="dxa"/>
            <w:vAlign w:val="center"/>
          </w:tcPr>
          <w:p w14:paraId="398A3704">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证书名称</w:t>
            </w:r>
          </w:p>
        </w:tc>
        <w:tc>
          <w:tcPr>
            <w:tcW w:w="1215" w:type="dxa"/>
            <w:vAlign w:val="center"/>
          </w:tcPr>
          <w:p w14:paraId="3E65B55A">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证书编号</w:t>
            </w:r>
          </w:p>
        </w:tc>
        <w:tc>
          <w:tcPr>
            <w:tcW w:w="1276" w:type="dxa"/>
            <w:vAlign w:val="center"/>
          </w:tcPr>
          <w:p w14:paraId="206D1E04">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职称专业</w:t>
            </w:r>
          </w:p>
        </w:tc>
        <w:tc>
          <w:tcPr>
            <w:tcW w:w="1134" w:type="dxa"/>
            <w:vAlign w:val="center"/>
          </w:tcPr>
          <w:p w14:paraId="64DE45F2">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级别</w:t>
            </w:r>
          </w:p>
        </w:tc>
        <w:tc>
          <w:tcPr>
            <w:tcW w:w="756" w:type="dxa"/>
            <w:vMerge w:val="continue"/>
            <w:vAlign w:val="center"/>
          </w:tcPr>
          <w:p w14:paraId="1B4FF8AC">
            <w:pPr>
              <w:spacing w:line="360" w:lineRule="auto"/>
              <w:jc w:val="center"/>
              <w:rPr>
                <w:rFonts w:ascii="Times New Roman" w:hAnsi="Times New Roman" w:cs="Times New Roman"/>
                <w:color w:val="000000"/>
                <w:szCs w:val="21"/>
                <w:highlight w:val="none"/>
              </w:rPr>
            </w:pPr>
          </w:p>
        </w:tc>
      </w:tr>
      <w:tr w14:paraId="5852A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4" w:hRule="atLeast"/>
          <w:jc w:val="center"/>
        </w:trPr>
        <w:tc>
          <w:tcPr>
            <w:tcW w:w="737" w:type="dxa"/>
            <w:vAlign w:val="center"/>
          </w:tcPr>
          <w:p w14:paraId="7D8D6F41">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一</w:t>
            </w:r>
          </w:p>
        </w:tc>
        <w:tc>
          <w:tcPr>
            <w:tcW w:w="1696" w:type="dxa"/>
            <w:vAlign w:val="center"/>
          </w:tcPr>
          <w:p w14:paraId="36BE8A0B">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项目经理</w:t>
            </w:r>
          </w:p>
        </w:tc>
        <w:tc>
          <w:tcPr>
            <w:tcW w:w="1244" w:type="dxa"/>
            <w:vAlign w:val="center"/>
          </w:tcPr>
          <w:p w14:paraId="3460DF11">
            <w:pPr>
              <w:spacing w:line="360" w:lineRule="auto"/>
              <w:jc w:val="center"/>
              <w:rPr>
                <w:rFonts w:ascii="Times New Roman" w:hAnsi="Times New Roman" w:cs="Times New Roman"/>
                <w:color w:val="000000"/>
                <w:szCs w:val="21"/>
                <w:highlight w:val="none"/>
              </w:rPr>
            </w:pPr>
          </w:p>
        </w:tc>
        <w:tc>
          <w:tcPr>
            <w:tcW w:w="1575" w:type="dxa"/>
            <w:vAlign w:val="center"/>
          </w:tcPr>
          <w:p w14:paraId="53BC9856">
            <w:pPr>
              <w:spacing w:line="360" w:lineRule="auto"/>
              <w:jc w:val="center"/>
              <w:rPr>
                <w:rFonts w:ascii="Times New Roman" w:hAnsi="Times New Roman" w:cs="Times New Roman"/>
                <w:color w:val="000000"/>
                <w:szCs w:val="21"/>
                <w:highlight w:val="none"/>
              </w:rPr>
            </w:pPr>
          </w:p>
        </w:tc>
        <w:tc>
          <w:tcPr>
            <w:tcW w:w="1215" w:type="dxa"/>
            <w:vAlign w:val="center"/>
          </w:tcPr>
          <w:p w14:paraId="5FA686CA">
            <w:pPr>
              <w:spacing w:line="360" w:lineRule="auto"/>
              <w:jc w:val="center"/>
              <w:rPr>
                <w:rFonts w:ascii="Times New Roman" w:hAnsi="Times New Roman" w:cs="Times New Roman"/>
                <w:color w:val="000000"/>
                <w:szCs w:val="21"/>
                <w:highlight w:val="none"/>
              </w:rPr>
            </w:pPr>
          </w:p>
        </w:tc>
        <w:tc>
          <w:tcPr>
            <w:tcW w:w="1276" w:type="dxa"/>
            <w:vAlign w:val="center"/>
          </w:tcPr>
          <w:p w14:paraId="04051BD9">
            <w:pPr>
              <w:spacing w:line="360" w:lineRule="auto"/>
              <w:jc w:val="center"/>
              <w:rPr>
                <w:rFonts w:ascii="Times New Roman" w:hAnsi="Times New Roman" w:cs="Times New Roman"/>
                <w:color w:val="000000"/>
                <w:szCs w:val="21"/>
                <w:highlight w:val="none"/>
              </w:rPr>
            </w:pPr>
          </w:p>
        </w:tc>
        <w:tc>
          <w:tcPr>
            <w:tcW w:w="1134" w:type="dxa"/>
            <w:vAlign w:val="center"/>
          </w:tcPr>
          <w:p w14:paraId="79E56D68">
            <w:pPr>
              <w:spacing w:line="360" w:lineRule="auto"/>
              <w:jc w:val="center"/>
              <w:rPr>
                <w:rFonts w:ascii="Times New Roman" w:hAnsi="Times New Roman" w:cs="Times New Roman"/>
                <w:color w:val="000000"/>
                <w:szCs w:val="21"/>
                <w:highlight w:val="none"/>
              </w:rPr>
            </w:pPr>
          </w:p>
        </w:tc>
        <w:tc>
          <w:tcPr>
            <w:tcW w:w="756" w:type="dxa"/>
            <w:vAlign w:val="center"/>
          </w:tcPr>
          <w:p w14:paraId="44ACD65B">
            <w:pPr>
              <w:spacing w:line="360" w:lineRule="auto"/>
              <w:jc w:val="center"/>
              <w:rPr>
                <w:rFonts w:ascii="Times New Roman" w:hAnsi="Times New Roman" w:cs="Times New Roman"/>
                <w:color w:val="000000"/>
                <w:szCs w:val="21"/>
                <w:highlight w:val="none"/>
              </w:rPr>
            </w:pPr>
          </w:p>
        </w:tc>
      </w:tr>
      <w:tr w14:paraId="16DE0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9" w:hRule="atLeast"/>
          <w:jc w:val="center"/>
        </w:trPr>
        <w:tc>
          <w:tcPr>
            <w:tcW w:w="737" w:type="dxa"/>
            <w:vAlign w:val="center"/>
          </w:tcPr>
          <w:p w14:paraId="1A14D12B">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二</w:t>
            </w:r>
          </w:p>
        </w:tc>
        <w:tc>
          <w:tcPr>
            <w:tcW w:w="1696" w:type="dxa"/>
            <w:vAlign w:val="center"/>
          </w:tcPr>
          <w:p w14:paraId="798CDE45">
            <w:pPr>
              <w:jc w:val="center"/>
              <w:rPr>
                <w:rFonts w:ascii="Times New Roman" w:hAnsi="Times New Roman" w:eastAsia="宋体" w:cs="Times New Roman"/>
                <w:kern w:val="2"/>
                <w:sz w:val="21"/>
                <w:szCs w:val="21"/>
                <w:highlight w:val="none"/>
                <w:lang w:val="en-US" w:eastAsia="zh-CN" w:bidi="ar-SA"/>
              </w:rPr>
            </w:pPr>
            <w:r>
              <w:rPr>
                <w:rFonts w:ascii="Times New Roman" w:hAnsi="Times New Roman" w:cs="Times New Roman"/>
                <w:szCs w:val="21"/>
                <w:highlight w:val="none"/>
              </w:rPr>
              <w:t>技术负责人</w:t>
            </w:r>
          </w:p>
        </w:tc>
        <w:tc>
          <w:tcPr>
            <w:tcW w:w="1244" w:type="dxa"/>
            <w:vAlign w:val="center"/>
          </w:tcPr>
          <w:p w14:paraId="5ADACDAE">
            <w:pPr>
              <w:spacing w:line="360" w:lineRule="auto"/>
              <w:jc w:val="center"/>
              <w:rPr>
                <w:rFonts w:ascii="Times New Roman" w:hAnsi="Times New Roman" w:cs="Times New Roman"/>
                <w:color w:val="000000"/>
                <w:szCs w:val="21"/>
                <w:highlight w:val="none"/>
              </w:rPr>
            </w:pPr>
          </w:p>
        </w:tc>
        <w:tc>
          <w:tcPr>
            <w:tcW w:w="1575" w:type="dxa"/>
            <w:vAlign w:val="center"/>
          </w:tcPr>
          <w:p w14:paraId="0154613E">
            <w:pPr>
              <w:spacing w:line="360" w:lineRule="auto"/>
              <w:jc w:val="center"/>
              <w:rPr>
                <w:rFonts w:ascii="Times New Roman" w:hAnsi="Times New Roman" w:cs="Times New Roman"/>
                <w:color w:val="000000"/>
                <w:szCs w:val="21"/>
                <w:highlight w:val="none"/>
              </w:rPr>
            </w:pPr>
          </w:p>
        </w:tc>
        <w:tc>
          <w:tcPr>
            <w:tcW w:w="1215" w:type="dxa"/>
            <w:vAlign w:val="center"/>
          </w:tcPr>
          <w:p w14:paraId="1DE795D2">
            <w:pPr>
              <w:spacing w:line="360" w:lineRule="auto"/>
              <w:jc w:val="center"/>
              <w:rPr>
                <w:rFonts w:ascii="Times New Roman" w:hAnsi="Times New Roman" w:cs="Times New Roman"/>
                <w:color w:val="000000"/>
                <w:szCs w:val="21"/>
                <w:highlight w:val="none"/>
              </w:rPr>
            </w:pPr>
          </w:p>
        </w:tc>
        <w:tc>
          <w:tcPr>
            <w:tcW w:w="1276" w:type="dxa"/>
            <w:vAlign w:val="center"/>
          </w:tcPr>
          <w:p w14:paraId="0C7B6C6C">
            <w:pPr>
              <w:spacing w:line="360" w:lineRule="auto"/>
              <w:jc w:val="center"/>
              <w:rPr>
                <w:rFonts w:ascii="Times New Roman" w:hAnsi="Times New Roman" w:cs="Times New Roman"/>
                <w:color w:val="000000"/>
                <w:szCs w:val="21"/>
                <w:highlight w:val="none"/>
              </w:rPr>
            </w:pPr>
          </w:p>
        </w:tc>
        <w:tc>
          <w:tcPr>
            <w:tcW w:w="1134" w:type="dxa"/>
            <w:vAlign w:val="center"/>
          </w:tcPr>
          <w:p w14:paraId="7B31BFB9">
            <w:pPr>
              <w:spacing w:line="360" w:lineRule="auto"/>
              <w:jc w:val="center"/>
              <w:rPr>
                <w:rFonts w:ascii="Times New Roman" w:hAnsi="Times New Roman" w:cs="Times New Roman"/>
                <w:color w:val="000000"/>
                <w:szCs w:val="21"/>
                <w:highlight w:val="none"/>
              </w:rPr>
            </w:pPr>
          </w:p>
        </w:tc>
        <w:tc>
          <w:tcPr>
            <w:tcW w:w="756" w:type="dxa"/>
            <w:vAlign w:val="center"/>
          </w:tcPr>
          <w:p w14:paraId="50997105">
            <w:pPr>
              <w:spacing w:line="360" w:lineRule="auto"/>
              <w:jc w:val="center"/>
              <w:rPr>
                <w:rFonts w:ascii="Times New Roman" w:hAnsi="Times New Roman" w:cs="Times New Roman"/>
                <w:color w:val="000000"/>
                <w:szCs w:val="21"/>
                <w:highlight w:val="none"/>
              </w:rPr>
            </w:pPr>
          </w:p>
        </w:tc>
      </w:tr>
      <w:tr w14:paraId="16DD4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9" w:hRule="atLeast"/>
          <w:jc w:val="center"/>
        </w:trPr>
        <w:tc>
          <w:tcPr>
            <w:tcW w:w="737" w:type="dxa"/>
            <w:vAlign w:val="center"/>
          </w:tcPr>
          <w:p w14:paraId="28C2A454">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三</w:t>
            </w:r>
          </w:p>
        </w:tc>
        <w:tc>
          <w:tcPr>
            <w:tcW w:w="1696" w:type="dxa"/>
            <w:vAlign w:val="center"/>
          </w:tcPr>
          <w:p w14:paraId="350496F0">
            <w:pPr>
              <w:jc w:val="center"/>
              <w:rPr>
                <w:rFonts w:ascii="Times New Roman" w:hAnsi="Times New Roman" w:eastAsia="宋体" w:cs="Times New Roman"/>
                <w:kern w:val="2"/>
                <w:sz w:val="21"/>
                <w:szCs w:val="21"/>
                <w:highlight w:val="none"/>
                <w:lang w:val="en-US" w:eastAsia="zh-CN" w:bidi="ar-SA"/>
              </w:rPr>
            </w:pPr>
            <w:r>
              <w:rPr>
                <w:rFonts w:ascii="Times New Roman" w:hAnsi="Times New Roman" w:cs="Times New Roman"/>
                <w:szCs w:val="21"/>
                <w:highlight w:val="none"/>
              </w:rPr>
              <w:t>安全负责人</w:t>
            </w:r>
          </w:p>
        </w:tc>
        <w:tc>
          <w:tcPr>
            <w:tcW w:w="1244" w:type="dxa"/>
            <w:vAlign w:val="center"/>
          </w:tcPr>
          <w:p w14:paraId="2A37A4B0">
            <w:pPr>
              <w:spacing w:line="360" w:lineRule="auto"/>
              <w:jc w:val="center"/>
              <w:rPr>
                <w:rFonts w:ascii="Times New Roman" w:hAnsi="Times New Roman" w:cs="Times New Roman"/>
                <w:color w:val="000000"/>
                <w:szCs w:val="21"/>
                <w:highlight w:val="none"/>
              </w:rPr>
            </w:pPr>
          </w:p>
        </w:tc>
        <w:tc>
          <w:tcPr>
            <w:tcW w:w="1575" w:type="dxa"/>
            <w:vAlign w:val="center"/>
          </w:tcPr>
          <w:p w14:paraId="54BF315D">
            <w:pPr>
              <w:spacing w:line="360" w:lineRule="auto"/>
              <w:jc w:val="center"/>
              <w:rPr>
                <w:rFonts w:ascii="Times New Roman" w:hAnsi="Times New Roman" w:cs="Times New Roman"/>
                <w:color w:val="000000"/>
                <w:szCs w:val="21"/>
                <w:highlight w:val="none"/>
              </w:rPr>
            </w:pPr>
          </w:p>
        </w:tc>
        <w:tc>
          <w:tcPr>
            <w:tcW w:w="1215" w:type="dxa"/>
            <w:vAlign w:val="center"/>
          </w:tcPr>
          <w:p w14:paraId="44D37869">
            <w:pPr>
              <w:spacing w:line="360" w:lineRule="auto"/>
              <w:jc w:val="center"/>
              <w:rPr>
                <w:rFonts w:ascii="Times New Roman" w:hAnsi="Times New Roman" w:cs="Times New Roman"/>
                <w:color w:val="000000"/>
                <w:szCs w:val="21"/>
                <w:highlight w:val="none"/>
              </w:rPr>
            </w:pPr>
          </w:p>
        </w:tc>
        <w:tc>
          <w:tcPr>
            <w:tcW w:w="1276" w:type="dxa"/>
            <w:vAlign w:val="center"/>
          </w:tcPr>
          <w:p w14:paraId="65F0E5AC">
            <w:pPr>
              <w:spacing w:line="360" w:lineRule="auto"/>
              <w:jc w:val="center"/>
              <w:rPr>
                <w:rFonts w:ascii="Times New Roman" w:hAnsi="Times New Roman" w:cs="Times New Roman"/>
                <w:color w:val="000000"/>
                <w:szCs w:val="21"/>
                <w:highlight w:val="none"/>
              </w:rPr>
            </w:pPr>
          </w:p>
        </w:tc>
        <w:tc>
          <w:tcPr>
            <w:tcW w:w="1134" w:type="dxa"/>
            <w:vAlign w:val="center"/>
          </w:tcPr>
          <w:p w14:paraId="7324F8F9">
            <w:pPr>
              <w:spacing w:line="360" w:lineRule="auto"/>
              <w:jc w:val="center"/>
              <w:rPr>
                <w:rFonts w:ascii="Times New Roman" w:hAnsi="Times New Roman" w:cs="Times New Roman"/>
                <w:color w:val="000000"/>
                <w:szCs w:val="21"/>
                <w:highlight w:val="none"/>
              </w:rPr>
            </w:pPr>
          </w:p>
        </w:tc>
        <w:tc>
          <w:tcPr>
            <w:tcW w:w="756" w:type="dxa"/>
            <w:vAlign w:val="center"/>
          </w:tcPr>
          <w:p w14:paraId="743C9C45">
            <w:pPr>
              <w:spacing w:line="360" w:lineRule="auto"/>
              <w:jc w:val="center"/>
              <w:rPr>
                <w:rFonts w:ascii="Times New Roman" w:hAnsi="Times New Roman" w:cs="Times New Roman"/>
                <w:color w:val="000000"/>
                <w:szCs w:val="21"/>
                <w:highlight w:val="none"/>
              </w:rPr>
            </w:pPr>
          </w:p>
        </w:tc>
      </w:tr>
      <w:tr w14:paraId="16F3E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9" w:hRule="atLeast"/>
          <w:jc w:val="center"/>
        </w:trPr>
        <w:tc>
          <w:tcPr>
            <w:tcW w:w="737" w:type="dxa"/>
            <w:vAlign w:val="center"/>
          </w:tcPr>
          <w:p w14:paraId="31C620B8">
            <w:pPr>
              <w:spacing w:line="360" w:lineRule="auto"/>
              <w:jc w:val="center"/>
              <w:rPr>
                <w:rFonts w:ascii="Times New Roman" w:hAnsi="Times New Roman" w:cs="Times New Roman"/>
                <w:color w:val="000000"/>
                <w:szCs w:val="21"/>
                <w:highlight w:val="none"/>
              </w:rPr>
            </w:pPr>
          </w:p>
        </w:tc>
        <w:tc>
          <w:tcPr>
            <w:tcW w:w="1696" w:type="dxa"/>
            <w:vAlign w:val="center"/>
          </w:tcPr>
          <w:p w14:paraId="2AA368E7">
            <w:pPr>
              <w:jc w:val="center"/>
              <w:rPr>
                <w:rFonts w:ascii="Times New Roman" w:hAnsi="Times New Roman" w:cs="Times New Roman"/>
                <w:szCs w:val="21"/>
                <w:highlight w:val="none"/>
              </w:rPr>
            </w:pPr>
          </w:p>
        </w:tc>
        <w:tc>
          <w:tcPr>
            <w:tcW w:w="1244" w:type="dxa"/>
            <w:vAlign w:val="center"/>
          </w:tcPr>
          <w:p w14:paraId="3AB9F8CD">
            <w:pPr>
              <w:spacing w:line="360" w:lineRule="auto"/>
              <w:jc w:val="center"/>
              <w:rPr>
                <w:rFonts w:ascii="Times New Roman" w:hAnsi="Times New Roman" w:cs="Times New Roman"/>
                <w:color w:val="000000"/>
                <w:szCs w:val="21"/>
                <w:highlight w:val="none"/>
              </w:rPr>
            </w:pPr>
          </w:p>
        </w:tc>
        <w:tc>
          <w:tcPr>
            <w:tcW w:w="1575" w:type="dxa"/>
            <w:vAlign w:val="center"/>
          </w:tcPr>
          <w:p w14:paraId="4852125A">
            <w:pPr>
              <w:spacing w:line="360" w:lineRule="auto"/>
              <w:jc w:val="center"/>
              <w:rPr>
                <w:rFonts w:ascii="Times New Roman" w:hAnsi="Times New Roman" w:cs="Times New Roman"/>
                <w:color w:val="000000"/>
                <w:szCs w:val="21"/>
                <w:highlight w:val="none"/>
              </w:rPr>
            </w:pPr>
          </w:p>
        </w:tc>
        <w:tc>
          <w:tcPr>
            <w:tcW w:w="1215" w:type="dxa"/>
            <w:vAlign w:val="center"/>
          </w:tcPr>
          <w:p w14:paraId="39B18CDB">
            <w:pPr>
              <w:spacing w:line="360" w:lineRule="auto"/>
              <w:jc w:val="center"/>
              <w:rPr>
                <w:rFonts w:ascii="Times New Roman" w:hAnsi="Times New Roman" w:cs="Times New Roman"/>
                <w:color w:val="000000"/>
                <w:szCs w:val="21"/>
                <w:highlight w:val="none"/>
              </w:rPr>
            </w:pPr>
          </w:p>
        </w:tc>
        <w:tc>
          <w:tcPr>
            <w:tcW w:w="1276" w:type="dxa"/>
            <w:vAlign w:val="center"/>
          </w:tcPr>
          <w:p w14:paraId="7BF37302">
            <w:pPr>
              <w:spacing w:line="360" w:lineRule="auto"/>
              <w:jc w:val="center"/>
              <w:rPr>
                <w:rFonts w:ascii="Times New Roman" w:hAnsi="Times New Roman" w:cs="Times New Roman"/>
                <w:color w:val="000000"/>
                <w:szCs w:val="21"/>
                <w:highlight w:val="none"/>
              </w:rPr>
            </w:pPr>
          </w:p>
        </w:tc>
        <w:tc>
          <w:tcPr>
            <w:tcW w:w="1134" w:type="dxa"/>
            <w:vAlign w:val="center"/>
          </w:tcPr>
          <w:p w14:paraId="00FE2234">
            <w:pPr>
              <w:spacing w:line="360" w:lineRule="auto"/>
              <w:jc w:val="center"/>
              <w:rPr>
                <w:rFonts w:ascii="Times New Roman" w:hAnsi="Times New Roman" w:cs="Times New Roman"/>
                <w:color w:val="000000"/>
                <w:szCs w:val="21"/>
                <w:highlight w:val="none"/>
              </w:rPr>
            </w:pPr>
          </w:p>
        </w:tc>
        <w:tc>
          <w:tcPr>
            <w:tcW w:w="756" w:type="dxa"/>
            <w:vAlign w:val="center"/>
          </w:tcPr>
          <w:p w14:paraId="07A0C5CA">
            <w:pPr>
              <w:spacing w:line="360" w:lineRule="auto"/>
              <w:jc w:val="center"/>
              <w:rPr>
                <w:rFonts w:ascii="Times New Roman" w:hAnsi="Times New Roman" w:cs="Times New Roman"/>
                <w:color w:val="000000"/>
                <w:szCs w:val="21"/>
                <w:highlight w:val="none"/>
              </w:rPr>
            </w:pPr>
          </w:p>
        </w:tc>
      </w:tr>
    </w:tbl>
    <w:p w14:paraId="6A9CA1DC">
      <w:pPr>
        <w:spacing w:line="360" w:lineRule="auto"/>
        <w:jc w:val="left"/>
        <w:rPr>
          <w:rFonts w:ascii="Times New Roman" w:hAnsi="Times New Roman" w:cs="Times New Roman"/>
          <w:szCs w:val="21"/>
          <w:highlight w:val="none"/>
        </w:rPr>
      </w:pPr>
      <w:r>
        <w:rPr>
          <w:rFonts w:ascii="Times New Roman" w:hAnsi="Times New Roman" w:cs="Times New Roman"/>
          <w:szCs w:val="21"/>
          <w:highlight w:val="none"/>
        </w:rPr>
        <w:t>注：</w:t>
      </w:r>
    </w:p>
    <w:p w14:paraId="5330ADD8">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kern w:val="0"/>
          <w:szCs w:val="21"/>
          <w:highlight w:val="none"/>
          <w:lang w:eastAsia="zh-CN" w:bidi="ar"/>
        </w:rPr>
      </w:pPr>
      <w:r>
        <w:rPr>
          <w:rFonts w:ascii="Times New Roman" w:hAnsi="Times New Roman" w:cs="Times New Roman"/>
          <w:szCs w:val="21"/>
          <w:highlight w:val="none"/>
        </w:rPr>
        <w:t>（1）</w:t>
      </w:r>
      <w:r>
        <w:rPr>
          <w:rFonts w:hint="eastAsia" w:ascii="Times New Roman" w:hAnsi="Times New Roman" w:cs="Times New Roman"/>
          <w:szCs w:val="21"/>
          <w:highlight w:val="none"/>
          <w:lang w:val="en-US" w:eastAsia="zh-CN"/>
        </w:rPr>
        <w:t>比选申请人</w:t>
      </w:r>
      <w:r>
        <w:rPr>
          <w:rFonts w:hint="eastAsia" w:ascii="宋体" w:hAnsi="宋体" w:eastAsia="宋体" w:cs="宋体"/>
          <w:color w:val="auto"/>
          <w:kern w:val="0"/>
          <w:szCs w:val="21"/>
          <w:highlight w:val="none"/>
          <w:lang w:eastAsia="zh-CN" w:bidi="ar"/>
        </w:rPr>
        <w:t>在表后应提供相关证明材料</w:t>
      </w:r>
      <w:r>
        <w:rPr>
          <w:rFonts w:hint="eastAsia" w:ascii="宋体" w:hAnsi="宋体" w:eastAsia="宋体" w:cs="宋体"/>
          <w:color w:val="auto"/>
          <w:kern w:val="0"/>
          <w:szCs w:val="21"/>
          <w:highlight w:val="none"/>
          <w:lang w:val="en-US" w:eastAsia="zh-CN" w:bidi="ar"/>
        </w:rPr>
        <w:t>影印件</w:t>
      </w:r>
      <w:r>
        <w:rPr>
          <w:rFonts w:hint="eastAsia" w:ascii="宋体" w:hAnsi="宋体" w:eastAsia="宋体" w:cs="宋体"/>
          <w:color w:val="auto"/>
          <w:kern w:val="0"/>
          <w:szCs w:val="21"/>
          <w:highlight w:val="none"/>
          <w:lang w:bidi="ar"/>
        </w:rPr>
        <w:t>（黑白或彩色）并加盖</w:t>
      </w:r>
      <w:r>
        <w:rPr>
          <w:rFonts w:hint="eastAsia" w:ascii="宋体" w:hAnsi="宋体" w:cs="宋体"/>
          <w:color w:val="auto"/>
          <w:kern w:val="0"/>
          <w:szCs w:val="21"/>
          <w:highlight w:val="none"/>
          <w:lang w:val="en-US" w:eastAsia="zh-CN" w:bidi="ar"/>
        </w:rPr>
        <w:t>比选申请</w:t>
      </w:r>
      <w:r>
        <w:rPr>
          <w:rFonts w:hint="eastAsia" w:ascii="宋体" w:hAnsi="宋体" w:eastAsia="宋体" w:cs="宋体"/>
          <w:color w:val="auto"/>
          <w:kern w:val="0"/>
          <w:szCs w:val="21"/>
          <w:highlight w:val="none"/>
          <w:lang w:bidi="ar"/>
        </w:rPr>
        <w:t>人单位章</w:t>
      </w:r>
      <w:r>
        <w:rPr>
          <w:rFonts w:hint="eastAsia" w:ascii="宋体" w:hAnsi="宋体" w:eastAsia="宋体" w:cs="宋体"/>
          <w:color w:val="auto"/>
          <w:kern w:val="0"/>
          <w:szCs w:val="21"/>
          <w:highlight w:val="none"/>
          <w:lang w:eastAsia="zh-CN" w:bidi="ar"/>
        </w:rPr>
        <w:t>：（身份证、职称证、</w:t>
      </w:r>
      <w:r>
        <w:rPr>
          <w:rFonts w:hint="eastAsia" w:ascii="宋体" w:hAnsi="宋体" w:cs="宋体"/>
          <w:color w:val="auto"/>
          <w:kern w:val="0"/>
          <w:szCs w:val="21"/>
          <w:highlight w:val="none"/>
          <w:lang w:val="en-US" w:eastAsia="zh-CN" w:bidi="ar"/>
        </w:rPr>
        <w:t>建造师注册证</w:t>
      </w:r>
      <w:r>
        <w:rPr>
          <w:rFonts w:hint="eastAsia" w:ascii="宋体" w:hAnsi="宋体" w:eastAsia="宋体" w:cs="宋体"/>
          <w:color w:val="auto"/>
          <w:kern w:val="0"/>
          <w:szCs w:val="21"/>
          <w:highlight w:val="none"/>
          <w:lang w:eastAsia="zh-CN" w:bidi="ar"/>
        </w:rPr>
        <w:t>、安全生产考核合格证、社保证明、个人业绩证明</w:t>
      </w:r>
      <w:r>
        <w:rPr>
          <w:rFonts w:hint="eastAsia" w:ascii="宋体" w:hAnsi="宋体" w:eastAsia="宋体" w:cs="宋体"/>
          <w:color w:val="auto"/>
          <w:kern w:val="0"/>
          <w:szCs w:val="21"/>
          <w:highlight w:val="none"/>
          <w:lang w:val="en-US" w:eastAsia="zh-CN" w:bidi="ar"/>
        </w:rPr>
        <w:t>等</w:t>
      </w:r>
      <w:r>
        <w:rPr>
          <w:rFonts w:hint="eastAsia" w:ascii="宋体" w:hAnsi="宋体" w:eastAsia="宋体" w:cs="宋体"/>
          <w:color w:val="auto"/>
          <w:kern w:val="0"/>
          <w:szCs w:val="21"/>
          <w:highlight w:val="none"/>
          <w:lang w:eastAsia="zh-CN" w:bidi="ar"/>
        </w:rPr>
        <w:t>）。因</w:t>
      </w:r>
      <w:r>
        <w:rPr>
          <w:rFonts w:hint="eastAsia" w:ascii="宋体" w:hAnsi="宋体" w:cs="宋体"/>
          <w:color w:val="auto"/>
          <w:kern w:val="0"/>
          <w:szCs w:val="21"/>
          <w:highlight w:val="none"/>
          <w:lang w:val="en-US" w:eastAsia="zh-CN" w:bidi="ar"/>
        </w:rPr>
        <w:t>比选申请</w:t>
      </w:r>
      <w:r>
        <w:rPr>
          <w:rFonts w:hint="eastAsia" w:ascii="宋体" w:hAnsi="宋体" w:eastAsia="宋体" w:cs="宋体"/>
          <w:color w:val="auto"/>
          <w:kern w:val="0"/>
          <w:szCs w:val="21"/>
          <w:highlight w:val="none"/>
          <w:lang w:eastAsia="zh-CN" w:bidi="ar"/>
        </w:rPr>
        <w:t>人自身原因未提供附件或提供的附件不能与所证明的内容相匹配，造成业绩或其他内容不予认可时，</w:t>
      </w:r>
      <w:r>
        <w:rPr>
          <w:rFonts w:hint="eastAsia" w:ascii="宋体" w:hAnsi="宋体" w:cs="宋体"/>
          <w:color w:val="auto"/>
          <w:kern w:val="0"/>
          <w:szCs w:val="21"/>
          <w:highlight w:val="none"/>
          <w:lang w:val="en-US" w:eastAsia="zh-CN" w:bidi="ar"/>
        </w:rPr>
        <w:t>比选申请</w:t>
      </w:r>
      <w:r>
        <w:rPr>
          <w:rFonts w:hint="eastAsia" w:ascii="宋体" w:hAnsi="宋体" w:eastAsia="宋体" w:cs="宋体"/>
          <w:color w:val="auto"/>
          <w:kern w:val="0"/>
          <w:szCs w:val="21"/>
          <w:highlight w:val="none"/>
          <w:lang w:eastAsia="zh-CN" w:bidi="ar"/>
        </w:rPr>
        <w:t>人自行承担相关责任。</w:t>
      </w:r>
    </w:p>
    <w:p w14:paraId="56AE518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eastAsia="zh-CN" w:bidi="ar"/>
        </w:rPr>
        <w:t>（</w:t>
      </w:r>
      <w:r>
        <w:rPr>
          <w:rFonts w:hint="eastAsia" w:ascii="宋体" w:hAnsi="宋体" w:cs="宋体"/>
          <w:color w:val="auto"/>
          <w:kern w:val="0"/>
          <w:szCs w:val="21"/>
          <w:highlight w:val="none"/>
          <w:lang w:val="en-US" w:eastAsia="zh-CN" w:bidi="ar"/>
        </w:rPr>
        <w:t>2</w:t>
      </w:r>
      <w:r>
        <w:rPr>
          <w:rFonts w:hint="eastAsia" w:ascii="宋体" w:hAnsi="宋体" w:cs="宋体"/>
          <w:color w:val="auto"/>
          <w:kern w:val="0"/>
          <w:szCs w:val="21"/>
          <w:highlight w:val="none"/>
          <w:lang w:eastAsia="zh-CN" w:bidi="ar"/>
        </w:rPr>
        <w:t>）</w:t>
      </w:r>
      <w:r>
        <w:rPr>
          <w:rFonts w:hint="eastAsia" w:ascii="宋体" w:hAnsi="宋体" w:eastAsia="宋体" w:cs="宋体"/>
          <w:color w:val="auto"/>
          <w:kern w:val="0"/>
          <w:szCs w:val="21"/>
          <w:highlight w:val="none"/>
          <w:lang w:eastAsia="zh-CN" w:bidi="ar"/>
        </w:rPr>
        <w:t>个人业绩证明材料为：</w:t>
      </w:r>
      <w:r>
        <w:rPr>
          <w:rFonts w:hint="eastAsia" w:ascii="宋体" w:hAnsi="宋体" w:eastAsia="宋体" w:cs="宋体"/>
          <w:color w:val="auto"/>
          <w:kern w:val="0"/>
          <w:szCs w:val="21"/>
          <w:highlight w:val="none"/>
          <w:lang w:val="en-US" w:eastAsia="zh-CN"/>
        </w:rPr>
        <w:t>合同协议书须能清晰</w:t>
      </w:r>
      <w:r>
        <w:rPr>
          <w:rFonts w:hint="eastAsia" w:ascii="宋体" w:hAnsi="宋体" w:cs="宋体"/>
          <w:color w:val="auto"/>
          <w:kern w:val="0"/>
          <w:szCs w:val="21"/>
          <w:highlight w:val="none"/>
          <w:lang w:val="en-US" w:eastAsia="zh-CN"/>
        </w:rPr>
        <w:t>反映其</w:t>
      </w:r>
      <w:r>
        <w:rPr>
          <w:rFonts w:hint="eastAsia" w:ascii="宋体" w:hAnsi="宋体" w:eastAsia="宋体" w:cs="宋体"/>
          <w:color w:val="auto"/>
          <w:kern w:val="0"/>
          <w:szCs w:val="21"/>
          <w:highlight w:val="none"/>
          <w:lang w:val="en-US" w:eastAsia="zh-CN"/>
        </w:rPr>
        <w:t>在类似项目中担任的职务。</w:t>
      </w:r>
    </w:p>
    <w:p w14:paraId="3682FBCB">
      <w:pPr>
        <w:spacing w:before="280" w:after="290"/>
      </w:pPr>
    </w:p>
    <w:p w14:paraId="2F96806C">
      <w:pPr>
        <w:rPr>
          <w:rFonts w:ascii="Times New Roman" w:hAnsi="Times New Roman" w:cs="Times New Roman"/>
          <w:sz w:val="24"/>
          <w:szCs w:val="24"/>
          <w:highlight w:val="none"/>
        </w:rPr>
      </w:pPr>
    </w:p>
    <w:p w14:paraId="78EC9D8B">
      <w:pPr>
        <w:pStyle w:val="8"/>
        <w:rPr>
          <w:highlight w:val="none"/>
        </w:rPr>
      </w:pPr>
    </w:p>
    <w:p w14:paraId="0162B216">
      <w:pPr>
        <w:rPr>
          <w:rFonts w:ascii="Times New Roman" w:hAnsi="Times New Roman" w:cs="Times New Roman"/>
          <w:highlight w:val="none"/>
        </w:rPr>
      </w:pPr>
    </w:p>
    <w:p w14:paraId="226D2D66">
      <w:pPr>
        <w:pStyle w:val="8"/>
        <w:rPr>
          <w:highlight w:val="none"/>
        </w:rPr>
      </w:pPr>
    </w:p>
    <w:p w14:paraId="27D825D5">
      <w:pPr>
        <w:rPr>
          <w:rFonts w:ascii="Times New Roman" w:hAnsi="Times New Roman" w:cs="Times New Roman"/>
          <w:highlight w:val="none"/>
        </w:rPr>
      </w:pPr>
    </w:p>
    <w:p w14:paraId="21DE9F03">
      <w:pPr>
        <w:pStyle w:val="8"/>
        <w:rPr>
          <w:highlight w:val="none"/>
        </w:rPr>
      </w:pPr>
    </w:p>
    <w:p w14:paraId="07CC6CFA">
      <w:pPr>
        <w:rPr>
          <w:rFonts w:ascii="Times New Roman" w:hAnsi="Times New Roman" w:cs="Times New Roman"/>
          <w:highlight w:val="none"/>
        </w:rPr>
      </w:pPr>
    </w:p>
    <w:p w14:paraId="7E288792">
      <w:pPr>
        <w:pStyle w:val="8"/>
        <w:rPr>
          <w:rFonts w:ascii="Times New Roman" w:hAnsi="Times New Roman" w:cs="Times New Roman"/>
          <w:highlight w:val="none"/>
        </w:rPr>
      </w:pPr>
    </w:p>
    <w:p w14:paraId="4DB87875">
      <w:pPr>
        <w:pStyle w:val="20"/>
        <w:rPr>
          <w:highlight w:val="none"/>
        </w:rPr>
      </w:pPr>
    </w:p>
    <w:p w14:paraId="644BA89D">
      <w:pPr>
        <w:pStyle w:val="8"/>
        <w:rPr>
          <w:highlight w:val="none"/>
        </w:rPr>
      </w:pPr>
    </w:p>
    <w:p w14:paraId="27370570">
      <w:pPr>
        <w:rPr>
          <w:rFonts w:ascii="Times New Roman" w:hAnsi="Times New Roman" w:cs="Times New Roman"/>
          <w:highlight w:val="none"/>
        </w:rPr>
      </w:pPr>
    </w:p>
    <w:p w14:paraId="4B35F25F">
      <w:pPr>
        <w:pStyle w:val="4"/>
        <w:spacing w:line="240" w:lineRule="auto"/>
        <w:jc w:val="center"/>
        <w:rPr>
          <w:bCs w:val="0"/>
          <w:color w:val="000000"/>
          <w:sz w:val="28"/>
          <w:szCs w:val="28"/>
          <w:highlight w:val="none"/>
        </w:rPr>
      </w:pPr>
      <w:r>
        <w:rPr>
          <w:rFonts w:hint="eastAsia"/>
          <w:bCs w:val="0"/>
          <w:color w:val="000000"/>
          <w:sz w:val="28"/>
          <w:szCs w:val="28"/>
          <w:highlight w:val="none"/>
          <w:lang w:val="en-US" w:eastAsia="zh-CN"/>
        </w:rPr>
        <w:t>五</w:t>
      </w:r>
      <w:r>
        <w:rPr>
          <w:bCs w:val="0"/>
          <w:color w:val="000000"/>
          <w:sz w:val="28"/>
          <w:szCs w:val="28"/>
          <w:highlight w:val="none"/>
        </w:rPr>
        <w:t>、资格审查资料</w:t>
      </w:r>
    </w:p>
    <w:p w14:paraId="43EDA5FA">
      <w:pPr>
        <w:pStyle w:val="5"/>
        <w:spacing w:before="280" w:after="290" w:line="240" w:lineRule="auto"/>
        <w:ind w:left="359" w:leftChars="171"/>
        <w:jc w:val="center"/>
        <w:rPr>
          <w:rFonts w:ascii="Times New Roman" w:hAnsi="Times New Roman"/>
          <w:color w:val="000000"/>
          <w:sz w:val="28"/>
          <w:highlight w:val="none"/>
        </w:rPr>
      </w:pPr>
      <w:r>
        <w:rPr>
          <w:rFonts w:ascii="Times New Roman" w:hAnsi="Times New Roman"/>
          <w:color w:val="000000"/>
          <w:sz w:val="28"/>
          <w:highlight w:val="none"/>
        </w:rPr>
        <w:t>(一)</w:t>
      </w:r>
      <w:r>
        <w:rPr>
          <w:rFonts w:hint="eastAsia" w:ascii="Times New Roman" w:hAnsi="Times New Roman"/>
          <w:color w:val="000000"/>
          <w:sz w:val="28"/>
          <w:highlight w:val="none"/>
        </w:rPr>
        <w:t>比选申请人</w:t>
      </w:r>
      <w:r>
        <w:rPr>
          <w:rFonts w:ascii="Times New Roman" w:hAnsi="Times New Roman"/>
          <w:color w:val="000000"/>
          <w:sz w:val="28"/>
          <w:highlight w:val="none"/>
        </w:rPr>
        <w:t>基本情况表</w:t>
      </w:r>
    </w:p>
    <w:tbl>
      <w:tblPr>
        <w:tblStyle w:val="15"/>
        <w:tblW w:w="9748" w:type="dxa"/>
        <w:jc w:val="center"/>
        <w:tblLayout w:type="fixed"/>
        <w:tblCellMar>
          <w:top w:w="0" w:type="dxa"/>
          <w:left w:w="0" w:type="dxa"/>
          <w:bottom w:w="0" w:type="dxa"/>
          <w:right w:w="0" w:type="dxa"/>
        </w:tblCellMar>
      </w:tblPr>
      <w:tblGrid>
        <w:gridCol w:w="1908"/>
        <w:gridCol w:w="900"/>
        <w:gridCol w:w="1080"/>
        <w:gridCol w:w="528"/>
        <w:gridCol w:w="732"/>
        <w:gridCol w:w="976"/>
        <w:gridCol w:w="284"/>
        <w:gridCol w:w="900"/>
        <w:gridCol w:w="1620"/>
      </w:tblGrid>
      <w:tr w14:paraId="3CCFC9E0">
        <w:tblPrEx>
          <w:tblCellMar>
            <w:top w:w="0" w:type="dxa"/>
            <w:left w:w="0" w:type="dxa"/>
            <w:bottom w:w="0" w:type="dxa"/>
            <w:right w:w="0" w:type="dxa"/>
          </w:tblCellMar>
        </w:tblPrEx>
        <w:trPr>
          <w:trHeight w:val="567" w:hRule="exact"/>
          <w:jc w:val="center"/>
        </w:trPr>
        <w:tc>
          <w:tcPr>
            <w:tcW w:w="1908" w:type="dxa"/>
            <w:tcBorders>
              <w:top w:val="single" w:color="000000" w:sz="4" w:space="0"/>
              <w:left w:val="single" w:color="000000" w:sz="4" w:space="0"/>
              <w:bottom w:val="single" w:color="000000" w:sz="4" w:space="0"/>
              <w:right w:val="single" w:color="000000" w:sz="4" w:space="0"/>
            </w:tcBorders>
            <w:noWrap w:val="0"/>
            <w:vAlign w:val="center"/>
          </w:tcPr>
          <w:p w14:paraId="334ECACF">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lang w:val="en-US" w:eastAsia="zh-CN"/>
              </w:rPr>
              <w:t>比选申请</w:t>
            </w:r>
            <w:r>
              <w:rPr>
                <w:rFonts w:hint="eastAsia" w:ascii="宋体" w:hAnsi="宋体" w:eastAsia="宋体" w:cs="宋体"/>
                <w:color w:val="auto"/>
                <w:spacing w:val="0"/>
                <w:w w:val="100"/>
                <w:sz w:val="21"/>
                <w:szCs w:val="21"/>
                <w:highlight w:val="none"/>
              </w:rPr>
              <w:t>人名称</w:t>
            </w:r>
          </w:p>
        </w:tc>
        <w:tc>
          <w:tcPr>
            <w:tcW w:w="7020" w:type="dxa"/>
            <w:gridSpan w:val="8"/>
            <w:tcBorders>
              <w:top w:val="single" w:color="000000" w:sz="4" w:space="0"/>
              <w:left w:val="single" w:color="000000" w:sz="4" w:space="0"/>
              <w:bottom w:val="single" w:color="000000" w:sz="4" w:space="0"/>
              <w:right w:val="single" w:color="000000" w:sz="4" w:space="0"/>
            </w:tcBorders>
            <w:noWrap w:val="0"/>
            <w:vAlign w:val="center"/>
          </w:tcPr>
          <w:p w14:paraId="7F235592">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r>
      <w:tr w14:paraId="1D2BB0B6">
        <w:tblPrEx>
          <w:tblCellMar>
            <w:top w:w="0" w:type="dxa"/>
            <w:left w:w="0" w:type="dxa"/>
            <w:bottom w:w="0" w:type="dxa"/>
            <w:right w:w="0" w:type="dxa"/>
          </w:tblCellMar>
        </w:tblPrEx>
        <w:trPr>
          <w:trHeight w:val="567" w:hRule="exact"/>
          <w:jc w:val="center"/>
        </w:trPr>
        <w:tc>
          <w:tcPr>
            <w:tcW w:w="1908" w:type="dxa"/>
            <w:tcBorders>
              <w:top w:val="single" w:color="000000" w:sz="4" w:space="0"/>
              <w:left w:val="single" w:color="000000" w:sz="4" w:space="0"/>
              <w:bottom w:val="single" w:color="000000" w:sz="4" w:space="0"/>
              <w:right w:val="single" w:color="000000" w:sz="4" w:space="0"/>
            </w:tcBorders>
            <w:noWrap w:val="0"/>
            <w:vAlign w:val="center"/>
          </w:tcPr>
          <w:p w14:paraId="22A15ACD">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注册地址</w:t>
            </w:r>
          </w:p>
        </w:tc>
        <w:tc>
          <w:tcPr>
            <w:tcW w:w="3240" w:type="dxa"/>
            <w:gridSpan w:val="4"/>
            <w:tcBorders>
              <w:top w:val="single" w:color="000000" w:sz="4" w:space="0"/>
              <w:left w:val="single" w:color="000000" w:sz="4" w:space="0"/>
              <w:bottom w:val="single" w:color="000000" w:sz="4" w:space="0"/>
              <w:right w:val="single" w:color="000000" w:sz="4" w:space="0"/>
            </w:tcBorders>
            <w:noWrap w:val="0"/>
            <w:vAlign w:val="center"/>
          </w:tcPr>
          <w:p w14:paraId="6F0C4D37">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976" w:type="dxa"/>
            <w:tcBorders>
              <w:top w:val="single" w:color="000000" w:sz="4" w:space="0"/>
              <w:left w:val="single" w:color="000000" w:sz="4" w:space="0"/>
              <w:bottom w:val="single" w:color="000000" w:sz="4" w:space="0"/>
              <w:right w:val="single" w:color="000000" w:sz="2" w:space="0"/>
            </w:tcBorders>
            <w:noWrap w:val="0"/>
            <w:vAlign w:val="center"/>
          </w:tcPr>
          <w:p w14:paraId="1A78A3DA">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邮政编码</w:t>
            </w:r>
          </w:p>
        </w:tc>
        <w:tc>
          <w:tcPr>
            <w:tcW w:w="2804" w:type="dxa"/>
            <w:gridSpan w:val="3"/>
            <w:tcBorders>
              <w:top w:val="single" w:color="000000" w:sz="4" w:space="0"/>
              <w:left w:val="single" w:color="000000" w:sz="2" w:space="0"/>
              <w:bottom w:val="single" w:color="000000" w:sz="4" w:space="0"/>
              <w:right w:val="single" w:color="000000" w:sz="4" w:space="0"/>
            </w:tcBorders>
            <w:noWrap w:val="0"/>
            <w:vAlign w:val="center"/>
          </w:tcPr>
          <w:p w14:paraId="7D0D1521">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r>
      <w:tr w14:paraId="1F5B59F3">
        <w:tblPrEx>
          <w:tblCellMar>
            <w:top w:w="0" w:type="dxa"/>
            <w:left w:w="0" w:type="dxa"/>
            <w:bottom w:w="0" w:type="dxa"/>
            <w:right w:w="0" w:type="dxa"/>
          </w:tblCellMar>
        </w:tblPrEx>
        <w:trPr>
          <w:trHeight w:val="510" w:hRule="exact"/>
          <w:jc w:val="center"/>
        </w:trPr>
        <w:tc>
          <w:tcPr>
            <w:tcW w:w="1908" w:type="dxa"/>
            <w:vMerge w:val="restart"/>
            <w:tcBorders>
              <w:top w:val="single" w:color="000000" w:sz="4" w:space="0"/>
              <w:left w:val="single" w:color="000000" w:sz="4" w:space="0"/>
              <w:right w:val="single" w:color="000000" w:sz="4" w:space="0"/>
            </w:tcBorders>
            <w:noWrap w:val="0"/>
            <w:vAlign w:val="center"/>
          </w:tcPr>
          <w:p w14:paraId="4CCD4357">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联系方式</w:t>
            </w:r>
          </w:p>
        </w:tc>
        <w:tc>
          <w:tcPr>
            <w:tcW w:w="900" w:type="dxa"/>
            <w:tcBorders>
              <w:top w:val="single" w:color="000000" w:sz="4" w:space="0"/>
              <w:left w:val="single" w:color="000000" w:sz="4" w:space="0"/>
              <w:bottom w:val="single" w:color="000000" w:sz="2" w:space="0"/>
              <w:right w:val="single" w:color="000000" w:sz="4" w:space="0"/>
            </w:tcBorders>
            <w:noWrap w:val="0"/>
            <w:vAlign w:val="center"/>
          </w:tcPr>
          <w:p w14:paraId="178B69B6">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联系人</w:t>
            </w:r>
          </w:p>
        </w:tc>
        <w:tc>
          <w:tcPr>
            <w:tcW w:w="2340" w:type="dxa"/>
            <w:gridSpan w:val="3"/>
            <w:tcBorders>
              <w:top w:val="single" w:color="000000" w:sz="4" w:space="0"/>
              <w:left w:val="single" w:color="000000" w:sz="4" w:space="0"/>
              <w:bottom w:val="single" w:color="000000" w:sz="2" w:space="0"/>
              <w:right w:val="single" w:color="000000" w:sz="4" w:space="0"/>
            </w:tcBorders>
            <w:noWrap w:val="0"/>
            <w:vAlign w:val="center"/>
          </w:tcPr>
          <w:p w14:paraId="78B30090">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976" w:type="dxa"/>
            <w:tcBorders>
              <w:top w:val="single" w:color="000000" w:sz="4" w:space="0"/>
              <w:left w:val="single" w:color="000000" w:sz="4" w:space="0"/>
              <w:bottom w:val="single" w:color="000000" w:sz="2" w:space="0"/>
              <w:right w:val="single" w:color="000000" w:sz="2" w:space="0"/>
            </w:tcBorders>
            <w:noWrap w:val="0"/>
            <w:vAlign w:val="center"/>
          </w:tcPr>
          <w:p w14:paraId="123592AA">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电 话</w:t>
            </w:r>
          </w:p>
        </w:tc>
        <w:tc>
          <w:tcPr>
            <w:tcW w:w="2804" w:type="dxa"/>
            <w:gridSpan w:val="3"/>
            <w:tcBorders>
              <w:top w:val="single" w:color="000000" w:sz="4" w:space="0"/>
              <w:left w:val="single" w:color="000000" w:sz="2" w:space="0"/>
              <w:bottom w:val="single" w:color="000000" w:sz="2" w:space="0"/>
              <w:right w:val="single" w:color="000000" w:sz="4" w:space="0"/>
            </w:tcBorders>
            <w:noWrap w:val="0"/>
            <w:vAlign w:val="center"/>
          </w:tcPr>
          <w:p w14:paraId="046D9E36">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r>
      <w:tr w14:paraId="5CEFC16C">
        <w:tblPrEx>
          <w:tblCellMar>
            <w:top w:w="0" w:type="dxa"/>
            <w:left w:w="0" w:type="dxa"/>
            <w:bottom w:w="0" w:type="dxa"/>
            <w:right w:w="0" w:type="dxa"/>
          </w:tblCellMar>
        </w:tblPrEx>
        <w:trPr>
          <w:trHeight w:val="508" w:hRule="exact"/>
          <w:jc w:val="center"/>
        </w:trPr>
        <w:tc>
          <w:tcPr>
            <w:tcW w:w="1908" w:type="dxa"/>
            <w:vMerge w:val="continue"/>
            <w:tcBorders>
              <w:left w:val="single" w:color="000000" w:sz="4" w:space="0"/>
              <w:bottom w:val="single" w:color="000000" w:sz="4" w:space="0"/>
              <w:right w:val="single" w:color="000000" w:sz="4" w:space="0"/>
            </w:tcBorders>
            <w:noWrap w:val="0"/>
            <w:vAlign w:val="center"/>
          </w:tcPr>
          <w:p w14:paraId="6D5C3810">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900" w:type="dxa"/>
            <w:tcBorders>
              <w:top w:val="single" w:color="000000" w:sz="2" w:space="0"/>
              <w:left w:val="single" w:color="000000" w:sz="4" w:space="0"/>
              <w:bottom w:val="single" w:color="000000" w:sz="4" w:space="0"/>
              <w:right w:val="single" w:color="000000" w:sz="4" w:space="0"/>
            </w:tcBorders>
            <w:noWrap w:val="0"/>
            <w:vAlign w:val="center"/>
          </w:tcPr>
          <w:p w14:paraId="0C586424">
            <w:pPr>
              <w:pStyle w:val="27"/>
              <w:keepNext w:val="0"/>
              <w:keepLines w:val="0"/>
              <w:pageBreakBefore w:val="0"/>
              <w:widowControl w:val="0"/>
              <w:tabs>
                <w:tab w:val="left" w:pos="561"/>
              </w:tabs>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传</w:t>
            </w:r>
            <w:r>
              <w:rPr>
                <w:rFonts w:hint="eastAsia" w:ascii="宋体" w:hAnsi="宋体" w:eastAsia="宋体" w:cs="宋体"/>
                <w:color w:val="auto"/>
                <w:spacing w:val="0"/>
                <w:w w:val="100"/>
                <w:sz w:val="21"/>
                <w:szCs w:val="21"/>
                <w:highlight w:val="none"/>
              </w:rPr>
              <w:tab/>
            </w:r>
            <w:r>
              <w:rPr>
                <w:rFonts w:hint="eastAsia" w:ascii="宋体" w:hAnsi="宋体" w:eastAsia="宋体" w:cs="宋体"/>
                <w:color w:val="auto"/>
                <w:spacing w:val="0"/>
                <w:w w:val="100"/>
                <w:sz w:val="21"/>
                <w:szCs w:val="21"/>
                <w:highlight w:val="none"/>
              </w:rPr>
              <w:t>真</w:t>
            </w:r>
          </w:p>
        </w:tc>
        <w:tc>
          <w:tcPr>
            <w:tcW w:w="2340" w:type="dxa"/>
            <w:gridSpan w:val="3"/>
            <w:tcBorders>
              <w:top w:val="single" w:color="000000" w:sz="2" w:space="0"/>
              <w:left w:val="single" w:color="000000" w:sz="4" w:space="0"/>
              <w:bottom w:val="single" w:color="000000" w:sz="4" w:space="0"/>
              <w:right w:val="single" w:color="000000" w:sz="4" w:space="0"/>
            </w:tcBorders>
            <w:noWrap w:val="0"/>
            <w:vAlign w:val="center"/>
          </w:tcPr>
          <w:p w14:paraId="58ABCA53">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976" w:type="dxa"/>
            <w:tcBorders>
              <w:top w:val="single" w:color="000000" w:sz="2" w:space="0"/>
              <w:left w:val="single" w:color="000000" w:sz="4" w:space="0"/>
              <w:bottom w:val="single" w:color="000000" w:sz="4" w:space="0"/>
              <w:right w:val="single" w:color="000000" w:sz="2" w:space="0"/>
            </w:tcBorders>
            <w:noWrap w:val="0"/>
            <w:vAlign w:val="center"/>
          </w:tcPr>
          <w:p w14:paraId="2669F350">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电子邮件</w:t>
            </w:r>
          </w:p>
        </w:tc>
        <w:tc>
          <w:tcPr>
            <w:tcW w:w="2804" w:type="dxa"/>
            <w:gridSpan w:val="3"/>
            <w:tcBorders>
              <w:top w:val="single" w:color="000000" w:sz="2" w:space="0"/>
              <w:left w:val="single" w:color="000000" w:sz="2" w:space="0"/>
              <w:bottom w:val="single" w:color="000000" w:sz="4" w:space="0"/>
              <w:right w:val="single" w:color="000000" w:sz="4" w:space="0"/>
            </w:tcBorders>
            <w:noWrap w:val="0"/>
            <w:vAlign w:val="center"/>
          </w:tcPr>
          <w:p w14:paraId="38FBEFAC">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r>
      <w:tr w14:paraId="36172E28">
        <w:tblPrEx>
          <w:tblCellMar>
            <w:top w:w="0" w:type="dxa"/>
            <w:left w:w="0" w:type="dxa"/>
            <w:bottom w:w="0" w:type="dxa"/>
            <w:right w:w="0" w:type="dxa"/>
          </w:tblCellMar>
        </w:tblPrEx>
        <w:trPr>
          <w:trHeight w:val="510" w:hRule="exact"/>
          <w:jc w:val="center"/>
        </w:trPr>
        <w:tc>
          <w:tcPr>
            <w:tcW w:w="1908" w:type="dxa"/>
            <w:tcBorders>
              <w:top w:val="single" w:color="000000" w:sz="4" w:space="0"/>
              <w:left w:val="single" w:color="000000" w:sz="4" w:space="0"/>
              <w:bottom w:val="single" w:color="000000" w:sz="4" w:space="0"/>
              <w:right w:val="single" w:color="000000" w:sz="4" w:space="0"/>
            </w:tcBorders>
            <w:noWrap w:val="0"/>
            <w:vAlign w:val="center"/>
          </w:tcPr>
          <w:p w14:paraId="72FE4A95">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法定代表人</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FCE4EA0">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姓名</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9B86AA3">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1260" w:type="dxa"/>
            <w:gridSpan w:val="2"/>
            <w:tcBorders>
              <w:top w:val="single" w:color="000000" w:sz="4" w:space="0"/>
              <w:left w:val="single" w:color="000000" w:sz="4" w:space="0"/>
              <w:bottom w:val="single" w:color="000000" w:sz="4" w:space="0"/>
              <w:right w:val="single" w:color="000000" w:sz="4" w:space="0"/>
            </w:tcBorders>
            <w:noWrap w:val="0"/>
            <w:vAlign w:val="center"/>
          </w:tcPr>
          <w:p w14:paraId="6160BD1B">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技术职称</w:t>
            </w:r>
          </w:p>
        </w:tc>
        <w:tc>
          <w:tcPr>
            <w:tcW w:w="976" w:type="dxa"/>
            <w:tcBorders>
              <w:top w:val="single" w:color="000000" w:sz="4" w:space="0"/>
              <w:left w:val="single" w:color="000000" w:sz="4" w:space="0"/>
              <w:bottom w:val="single" w:color="000000" w:sz="4" w:space="0"/>
              <w:right w:val="single" w:color="000000" w:sz="2" w:space="0"/>
            </w:tcBorders>
            <w:noWrap w:val="0"/>
            <w:vAlign w:val="center"/>
          </w:tcPr>
          <w:p w14:paraId="59B211B7">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1184" w:type="dxa"/>
            <w:gridSpan w:val="2"/>
            <w:tcBorders>
              <w:top w:val="single" w:color="000000" w:sz="4" w:space="0"/>
              <w:left w:val="single" w:color="000000" w:sz="2" w:space="0"/>
              <w:bottom w:val="single" w:color="000000" w:sz="4" w:space="0"/>
              <w:right w:val="single" w:color="000000" w:sz="4" w:space="0"/>
            </w:tcBorders>
            <w:noWrap w:val="0"/>
            <w:vAlign w:val="center"/>
          </w:tcPr>
          <w:p w14:paraId="6212E8B7">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电话</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4AF7AC6B">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r>
      <w:tr w14:paraId="29311287">
        <w:tblPrEx>
          <w:tblCellMar>
            <w:top w:w="0" w:type="dxa"/>
            <w:left w:w="0" w:type="dxa"/>
            <w:bottom w:w="0" w:type="dxa"/>
            <w:right w:w="0" w:type="dxa"/>
          </w:tblCellMar>
        </w:tblPrEx>
        <w:trPr>
          <w:trHeight w:val="510" w:hRule="exact"/>
          <w:jc w:val="center"/>
        </w:trPr>
        <w:tc>
          <w:tcPr>
            <w:tcW w:w="1908" w:type="dxa"/>
            <w:tcBorders>
              <w:top w:val="single" w:color="000000" w:sz="4" w:space="0"/>
              <w:left w:val="single" w:color="000000" w:sz="4" w:space="0"/>
              <w:bottom w:val="single" w:color="000000" w:sz="4" w:space="0"/>
              <w:right w:val="single" w:color="000000" w:sz="4" w:space="0"/>
            </w:tcBorders>
            <w:noWrap w:val="0"/>
            <w:vAlign w:val="center"/>
          </w:tcPr>
          <w:p w14:paraId="1AC6AFBC">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技术负责人</w:t>
            </w:r>
          </w:p>
        </w:tc>
        <w:tc>
          <w:tcPr>
            <w:tcW w:w="900" w:type="dxa"/>
            <w:tcBorders>
              <w:top w:val="single" w:color="000000" w:sz="4" w:space="0"/>
              <w:left w:val="single" w:color="000000" w:sz="4" w:space="0"/>
              <w:bottom w:val="single" w:color="000000" w:sz="4" w:space="0"/>
              <w:right w:val="single" w:color="000000" w:sz="4" w:space="0"/>
            </w:tcBorders>
            <w:noWrap w:val="0"/>
            <w:vAlign w:val="center"/>
          </w:tcPr>
          <w:p w14:paraId="2B8C5FE0">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姓名</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C558041">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1260" w:type="dxa"/>
            <w:gridSpan w:val="2"/>
            <w:tcBorders>
              <w:top w:val="single" w:color="000000" w:sz="4" w:space="0"/>
              <w:left w:val="single" w:color="000000" w:sz="4" w:space="0"/>
              <w:bottom w:val="single" w:color="000000" w:sz="4" w:space="0"/>
              <w:right w:val="single" w:color="000000" w:sz="4" w:space="0"/>
            </w:tcBorders>
            <w:noWrap w:val="0"/>
            <w:vAlign w:val="center"/>
          </w:tcPr>
          <w:p w14:paraId="44C8741D">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技术职称</w:t>
            </w:r>
          </w:p>
        </w:tc>
        <w:tc>
          <w:tcPr>
            <w:tcW w:w="976" w:type="dxa"/>
            <w:tcBorders>
              <w:top w:val="single" w:color="000000" w:sz="4" w:space="0"/>
              <w:left w:val="single" w:color="000000" w:sz="4" w:space="0"/>
              <w:bottom w:val="single" w:color="000000" w:sz="4" w:space="0"/>
              <w:right w:val="single" w:color="000000" w:sz="2" w:space="0"/>
            </w:tcBorders>
            <w:noWrap w:val="0"/>
            <w:vAlign w:val="center"/>
          </w:tcPr>
          <w:p w14:paraId="73E50124">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1184" w:type="dxa"/>
            <w:gridSpan w:val="2"/>
            <w:tcBorders>
              <w:top w:val="single" w:color="000000" w:sz="4" w:space="0"/>
              <w:left w:val="single" w:color="000000" w:sz="2" w:space="0"/>
              <w:bottom w:val="single" w:color="000000" w:sz="4" w:space="0"/>
              <w:right w:val="single" w:color="000000" w:sz="4" w:space="0"/>
            </w:tcBorders>
            <w:noWrap w:val="0"/>
            <w:vAlign w:val="center"/>
          </w:tcPr>
          <w:p w14:paraId="77203E9E">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电话</w:t>
            </w:r>
          </w:p>
        </w:tc>
        <w:tc>
          <w:tcPr>
            <w:tcW w:w="1620" w:type="dxa"/>
            <w:tcBorders>
              <w:top w:val="single" w:color="000000" w:sz="4" w:space="0"/>
              <w:left w:val="single" w:color="000000" w:sz="4" w:space="0"/>
              <w:bottom w:val="single" w:color="000000" w:sz="4" w:space="0"/>
              <w:right w:val="single" w:color="000000" w:sz="4" w:space="0"/>
            </w:tcBorders>
            <w:noWrap w:val="0"/>
            <w:vAlign w:val="center"/>
          </w:tcPr>
          <w:p w14:paraId="42731D8E">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r>
      <w:tr w14:paraId="5B1E636F">
        <w:tblPrEx>
          <w:tblCellMar>
            <w:top w:w="0" w:type="dxa"/>
            <w:left w:w="0" w:type="dxa"/>
            <w:bottom w:w="0" w:type="dxa"/>
            <w:right w:w="0" w:type="dxa"/>
          </w:tblCellMar>
        </w:tblPrEx>
        <w:trPr>
          <w:trHeight w:val="510" w:hRule="exact"/>
          <w:jc w:val="center"/>
        </w:trPr>
        <w:tc>
          <w:tcPr>
            <w:tcW w:w="1908" w:type="dxa"/>
            <w:tcBorders>
              <w:top w:val="single" w:color="000000" w:sz="4" w:space="0"/>
              <w:left w:val="single" w:color="000000" w:sz="4" w:space="0"/>
              <w:bottom w:val="single" w:color="000000" w:sz="4" w:space="0"/>
              <w:right w:val="single" w:color="000000" w:sz="4" w:space="0"/>
            </w:tcBorders>
            <w:noWrap w:val="0"/>
            <w:vAlign w:val="center"/>
          </w:tcPr>
          <w:p w14:paraId="32EA07E9">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营业执照号</w:t>
            </w:r>
          </w:p>
        </w:tc>
        <w:tc>
          <w:tcPr>
            <w:tcW w:w="1980" w:type="dxa"/>
            <w:gridSpan w:val="2"/>
            <w:tcBorders>
              <w:top w:val="single" w:color="000000" w:sz="4" w:space="0"/>
              <w:left w:val="single" w:color="000000" w:sz="4" w:space="0"/>
              <w:bottom w:val="single" w:color="000000" w:sz="4" w:space="0"/>
              <w:right w:val="single" w:color="000000" w:sz="4" w:space="0"/>
            </w:tcBorders>
            <w:noWrap w:val="0"/>
            <w:vAlign w:val="center"/>
          </w:tcPr>
          <w:p w14:paraId="6363D756">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5040" w:type="dxa"/>
            <w:gridSpan w:val="6"/>
            <w:tcBorders>
              <w:top w:val="single" w:color="000000" w:sz="4" w:space="0"/>
              <w:left w:val="single" w:color="000000" w:sz="4" w:space="0"/>
              <w:bottom w:val="single" w:color="000000" w:sz="4" w:space="0"/>
              <w:right w:val="single" w:color="000000" w:sz="4" w:space="0"/>
            </w:tcBorders>
            <w:noWrap w:val="0"/>
            <w:vAlign w:val="center"/>
          </w:tcPr>
          <w:p w14:paraId="21E29565">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员工总人数：</w:t>
            </w:r>
          </w:p>
        </w:tc>
      </w:tr>
      <w:tr w14:paraId="39F507E3">
        <w:tblPrEx>
          <w:tblCellMar>
            <w:top w:w="0" w:type="dxa"/>
            <w:left w:w="0" w:type="dxa"/>
            <w:bottom w:w="0" w:type="dxa"/>
            <w:right w:w="0" w:type="dxa"/>
          </w:tblCellMar>
        </w:tblPrEx>
        <w:trPr>
          <w:trHeight w:val="510" w:hRule="exact"/>
          <w:jc w:val="center"/>
        </w:trPr>
        <w:tc>
          <w:tcPr>
            <w:tcW w:w="1908" w:type="dxa"/>
            <w:tcBorders>
              <w:top w:val="single" w:color="000000" w:sz="4" w:space="0"/>
              <w:left w:val="single" w:color="000000" w:sz="4" w:space="0"/>
              <w:bottom w:val="single" w:color="000000" w:sz="4" w:space="0"/>
              <w:right w:val="single" w:color="000000" w:sz="4" w:space="0"/>
            </w:tcBorders>
            <w:noWrap w:val="0"/>
            <w:vAlign w:val="center"/>
          </w:tcPr>
          <w:p w14:paraId="0C20D239">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企业资质等级</w:t>
            </w:r>
          </w:p>
        </w:tc>
        <w:tc>
          <w:tcPr>
            <w:tcW w:w="1980" w:type="dxa"/>
            <w:gridSpan w:val="2"/>
            <w:tcBorders>
              <w:top w:val="single" w:color="000000" w:sz="4" w:space="0"/>
              <w:left w:val="single" w:color="000000" w:sz="4" w:space="0"/>
              <w:bottom w:val="single" w:color="000000" w:sz="4" w:space="0"/>
              <w:right w:val="single" w:color="000000" w:sz="4" w:space="0"/>
            </w:tcBorders>
            <w:noWrap w:val="0"/>
            <w:vAlign w:val="center"/>
          </w:tcPr>
          <w:p w14:paraId="548E1C21">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528" w:type="dxa"/>
            <w:vMerge w:val="restart"/>
            <w:tcBorders>
              <w:top w:val="single" w:color="000000" w:sz="4" w:space="0"/>
              <w:left w:val="single" w:color="000000" w:sz="4" w:space="0"/>
              <w:right w:val="single" w:color="000000" w:sz="4" w:space="0"/>
            </w:tcBorders>
            <w:noWrap w:val="0"/>
            <w:vAlign w:val="center"/>
          </w:tcPr>
          <w:p w14:paraId="213C0220">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p w14:paraId="2212AF13">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p w14:paraId="02FF1C11">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p w14:paraId="45468C0C">
            <w:pPr>
              <w:pStyle w:val="27"/>
              <w:keepNext w:val="0"/>
              <w:keepLines w:val="0"/>
              <w:pageBreakBefore w:val="0"/>
              <w:widowControl w:val="0"/>
              <w:kinsoku/>
              <w:wordWrap/>
              <w:overflowPunct/>
              <w:topLinePunct w:val="0"/>
              <w:bidi w:val="0"/>
              <w:snapToGrid/>
              <w:spacing w:line="240" w:lineRule="auto"/>
              <w:ind w:left="0" w:right="126" w:hanging="15"/>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其 中</w:t>
            </w:r>
          </w:p>
        </w:tc>
        <w:tc>
          <w:tcPr>
            <w:tcW w:w="1992" w:type="dxa"/>
            <w:gridSpan w:val="3"/>
            <w:tcBorders>
              <w:top w:val="single" w:color="000000" w:sz="4" w:space="0"/>
              <w:left w:val="single" w:color="000000" w:sz="4" w:space="0"/>
              <w:bottom w:val="single" w:color="000000" w:sz="4" w:space="0"/>
              <w:right w:val="single" w:color="000000" w:sz="4" w:space="0"/>
            </w:tcBorders>
            <w:noWrap w:val="0"/>
            <w:vAlign w:val="center"/>
          </w:tcPr>
          <w:p w14:paraId="7B11D272">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项目经理</w:t>
            </w:r>
          </w:p>
        </w:tc>
        <w:tc>
          <w:tcPr>
            <w:tcW w:w="2520" w:type="dxa"/>
            <w:gridSpan w:val="2"/>
            <w:tcBorders>
              <w:top w:val="single" w:color="000000" w:sz="4" w:space="0"/>
              <w:left w:val="single" w:color="000000" w:sz="4" w:space="0"/>
              <w:bottom w:val="single" w:color="000000" w:sz="4" w:space="0"/>
              <w:right w:val="single" w:color="000000" w:sz="4" w:space="0"/>
            </w:tcBorders>
            <w:noWrap w:val="0"/>
            <w:vAlign w:val="center"/>
          </w:tcPr>
          <w:p w14:paraId="43A26AEC">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r>
      <w:tr w14:paraId="1786DBF9">
        <w:tblPrEx>
          <w:tblCellMar>
            <w:top w:w="0" w:type="dxa"/>
            <w:left w:w="0" w:type="dxa"/>
            <w:bottom w:w="0" w:type="dxa"/>
            <w:right w:w="0" w:type="dxa"/>
          </w:tblCellMar>
        </w:tblPrEx>
        <w:trPr>
          <w:trHeight w:val="510" w:hRule="exact"/>
          <w:jc w:val="center"/>
        </w:trPr>
        <w:tc>
          <w:tcPr>
            <w:tcW w:w="1908" w:type="dxa"/>
            <w:tcBorders>
              <w:top w:val="single" w:color="000000" w:sz="4" w:space="0"/>
              <w:left w:val="single" w:color="000000" w:sz="4" w:space="0"/>
              <w:bottom w:val="single" w:color="000000" w:sz="2" w:space="0"/>
              <w:right w:val="single" w:color="000000" w:sz="4" w:space="0"/>
            </w:tcBorders>
            <w:noWrap w:val="0"/>
            <w:vAlign w:val="center"/>
          </w:tcPr>
          <w:p w14:paraId="3758D12C">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注册资本</w:t>
            </w:r>
          </w:p>
        </w:tc>
        <w:tc>
          <w:tcPr>
            <w:tcW w:w="1980" w:type="dxa"/>
            <w:gridSpan w:val="2"/>
            <w:tcBorders>
              <w:top w:val="single" w:color="000000" w:sz="4" w:space="0"/>
              <w:left w:val="single" w:color="000000" w:sz="4" w:space="0"/>
              <w:bottom w:val="single" w:color="000000" w:sz="2" w:space="0"/>
              <w:right w:val="single" w:color="000000" w:sz="4" w:space="0"/>
            </w:tcBorders>
            <w:noWrap w:val="0"/>
            <w:vAlign w:val="center"/>
          </w:tcPr>
          <w:p w14:paraId="5B2E53F8">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528" w:type="dxa"/>
            <w:vMerge w:val="continue"/>
            <w:tcBorders>
              <w:left w:val="single" w:color="000000" w:sz="4" w:space="0"/>
              <w:right w:val="single" w:color="000000" w:sz="4" w:space="0"/>
            </w:tcBorders>
            <w:noWrap w:val="0"/>
            <w:vAlign w:val="center"/>
          </w:tcPr>
          <w:p w14:paraId="434C4647">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1992" w:type="dxa"/>
            <w:gridSpan w:val="3"/>
            <w:tcBorders>
              <w:top w:val="single" w:color="000000" w:sz="4" w:space="0"/>
              <w:left w:val="single" w:color="000000" w:sz="4" w:space="0"/>
              <w:bottom w:val="single" w:color="000000" w:sz="2" w:space="0"/>
              <w:right w:val="single" w:color="000000" w:sz="4" w:space="0"/>
            </w:tcBorders>
            <w:noWrap w:val="0"/>
            <w:vAlign w:val="center"/>
          </w:tcPr>
          <w:p w14:paraId="02728808">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高级职称人员</w:t>
            </w:r>
          </w:p>
        </w:tc>
        <w:tc>
          <w:tcPr>
            <w:tcW w:w="2520" w:type="dxa"/>
            <w:gridSpan w:val="2"/>
            <w:tcBorders>
              <w:top w:val="single" w:color="000000" w:sz="4" w:space="0"/>
              <w:left w:val="single" w:color="000000" w:sz="4" w:space="0"/>
              <w:bottom w:val="single" w:color="000000" w:sz="2" w:space="0"/>
              <w:right w:val="single" w:color="000000" w:sz="4" w:space="0"/>
            </w:tcBorders>
            <w:noWrap w:val="0"/>
            <w:vAlign w:val="center"/>
          </w:tcPr>
          <w:p w14:paraId="5936ED8C">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r>
      <w:tr w14:paraId="1AB1B2F3">
        <w:tblPrEx>
          <w:tblCellMar>
            <w:top w:w="0" w:type="dxa"/>
            <w:left w:w="0" w:type="dxa"/>
            <w:bottom w:w="0" w:type="dxa"/>
            <w:right w:w="0" w:type="dxa"/>
          </w:tblCellMar>
        </w:tblPrEx>
        <w:trPr>
          <w:trHeight w:val="510" w:hRule="exact"/>
          <w:jc w:val="center"/>
        </w:trPr>
        <w:tc>
          <w:tcPr>
            <w:tcW w:w="1908" w:type="dxa"/>
            <w:tcBorders>
              <w:top w:val="single" w:color="000000" w:sz="2" w:space="0"/>
              <w:left w:val="single" w:color="000000" w:sz="4" w:space="0"/>
              <w:bottom w:val="single" w:color="000000" w:sz="2" w:space="0"/>
              <w:right w:val="single" w:color="000000" w:sz="4" w:space="0"/>
            </w:tcBorders>
            <w:noWrap w:val="0"/>
            <w:vAlign w:val="center"/>
          </w:tcPr>
          <w:p w14:paraId="424B69F6">
            <w:pPr>
              <w:pStyle w:val="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成立日期</w:t>
            </w:r>
          </w:p>
        </w:tc>
        <w:tc>
          <w:tcPr>
            <w:tcW w:w="1980" w:type="dxa"/>
            <w:gridSpan w:val="2"/>
            <w:tcBorders>
              <w:top w:val="single" w:color="000000" w:sz="2" w:space="0"/>
              <w:left w:val="single" w:color="000000" w:sz="4" w:space="0"/>
              <w:bottom w:val="single" w:color="000000" w:sz="2" w:space="0"/>
              <w:right w:val="single" w:color="000000" w:sz="4" w:space="0"/>
            </w:tcBorders>
            <w:noWrap w:val="0"/>
            <w:vAlign w:val="center"/>
          </w:tcPr>
          <w:p w14:paraId="46939EA9">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528" w:type="dxa"/>
            <w:vMerge w:val="continue"/>
            <w:tcBorders>
              <w:left w:val="single" w:color="000000" w:sz="4" w:space="0"/>
              <w:right w:val="single" w:color="000000" w:sz="4" w:space="0"/>
            </w:tcBorders>
            <w:noWrap w:val="0"/>
            <w:vAlign w:val="center"/>
          </w:tcPr>
          <w:p w14:paraId="06EE492A">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1992" w:type="dxa"/>
            <w:gridSpan w:val="3"/>
            <w:tcBorders>
              <w:top w:val="single" w:color="000000" w:sz="2" w:space="0"/>
              <w:left w:val="single" w:color="000000" w:sz="4" w:space="0"/>
              <w:bottom w:val="single" w:color="000000" w:sz="2" w:space="0"/>
              <w:right w:val="single" w:color="000000" w:sz="4" w:space="0"/>
            </w:tcBorders>
            <w:noWrap w:val="0"/>
            <w:vAlign w:val="center"/>
          </w:tcPr>
          <w:p w14:paraId="669084E1">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中级职称人员</w:t>
            </w:r>
          </w:p>
        </w:tc>
        <w:tc>
          <w:tcPr>
            <w:tcW w:w="2520" w:type="dxa"/>
            <w:gridSpan w:val="2"/>
            <w:tcBorders>
              <w:top w:val="single" w:color="000000" w:sz="2" w:space="0"/>
              <w:left w:val="single" w:color="000000" w:sz="4" w:space="0"/>
              <w:bottom w:val="single" w:color="000000" w:sz="2" w:space="0"/>
              <w:right w:val="single" w:color="000000" w:sz="4" w:space="0"/>
            </w:tcBorders>
            <w:noWrap w:val="0"/>
            <w:vAlign w:val="center"/>
          </w:tcPr>
          <w:p w14:paraId="5B5FC1E4">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r>
      <w:tr w14:paraId="2754F903">
        <w:tblPrEx>
          <w:tblCellMar>
            <w:top w:w="0" w:type="dxa"/>
            <w:left w:w="0" w:type="dxa"/>
            <w:bottom w:w="0" w:type="dxa"/>
            <w:right w:w="0" w:type="dxa"/>
          </w:tblCellMar>
        </w:tblPrEx>
        <w:trPr>
          <w:trHeight w:val="510" w:hRule="exact"/>
          <w:jc w:val="center"/>
        </w:trPr>
        <w:tc>
          <w:tcPr>
            <w:tcW w:w="1908" w:type="dxa"/>
            <w:tcBorders>
              <w:top w:val="single" w:color="000000" w:sz="2" w:space="0"/>
              <w:left w:val="single" w:color="000000" w:sz="4" w:space="0"/>
              <w:bottom w:val="single" w:color="000000" w:sz="4" w:space="0"/>
              <w:right w:val="single" w:color="000000" w:sz="4" w:space="0"/>
            </w:tcBorders>
            <w:noWrap w:val="0"/>
            <w:vAlign w:val="center"/>
          </w:tcPr>
          <w:p w14:paraId="21773D78">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基本账户开户银行</w:t>
            </w:r>
          </w:p>
        </w:tc>
        <w:tc>
          <w:tcPr>
            <w:tcW w:w="1980" w:type="dxa"/>
            <w:gridSpan w:val="2"/>
            <w:tcBorders>
              <w:top w:val="single" w:color="000000" w:sz="2" w:space="0"/>
              <w:left w:val="single" w:color="000000" w:sz="4" w:space="0"/>
              <w:bottom w:val="single" w:color="000000" w:sz="4" w:space="0"/>
              <w:right w:val="single" w:color="000000" w:sz="4" w:space="0"/>
            </w:tcBorders>
            <w:noWrap w:val="0"/>
            <w:vAlign w:val="center"/>
          </w:tcPr>
          <w:p w14:paraId="4E799D8E">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528" w:type="dxa"/>
            <w:vMerge w:val="continue"/>
            <w:tcBorders>
              <w:left w:val="single" w:color="000000" w:sz="4" w:space="0"/>
              <w:right w:val="single" w:color="000000" w:sz="4" w:space="0"/>
            </w:tcBorders>
            <w:noWrap w:val="0"/>
            <w:vAlign w:val="center"/>
          </w:tcPr>
          <w:p w14:paraId="2F898342">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1992" w:type="dxa"/>
            <w:gridSpan w:val="3"/>
            <w:tcBorders>
              <w:top w:val="single" w:color="000000" w:sz="2" w:space="0"/>
              <w:left w:val="single" w:color="000000" w:sz="4" w:space="0"/>
              <w:bottom w:val="single" w:color="000000" w:sz="4" w:space="0"/>
              <w:right w:val="single" w:color="000000" w:sz="4" w:space="0"/>
            </w:tcBorders>
            <w:noWrap w:val="0"/>
            <w:vAlign w:val="center"/>
          </w:tcPr>
          <w:p w14:paraId="3D2F2148">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初级职称人员</w:t>
            </w:r>
          </w:p>
        </w:tc>
        <w:tc>
          <w:tcPr>
            <w:tcW w:w="2520" w:type="dxa"/>
            <w:gridSpan w:val="2"/>
            <w:tcBorders>
              <w:top w:val="single" w:color="000000" w:sz="2" w:space="0"/>
              <w:left w:val="single" w:color="000000" w:sz="4" w:space="0"/>
              <w:bottom w:val="single" w:color="000000" w:sz="4" w:space="0"/>
              <w:right w:val="single" w:color="000000" w:sz="4" w:space="0"/>
            </w:tcBorders>
            <w:noWrap w:val="0"/>
            <w:vAlign w:val="center"/>
          </w:tcPr>
          <w:p w14:paraId="3EC6304E">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r>
      <w:tr w14:paraId="6C107A31">
        <w:tblPrEx>
          <w:tblCellMar>
            <w:top w:w="0" w:type="dxa"/>
            <w:left w:w="0" w:type="dxa"/>
            <w:bottom w:w="0" w:type="dxa"/>
            <w:right w:w="0" w:type="dxa"/>
          </w:tblCellMar>
        </w:tblPrEx>
        <w:trPr>
          <w:trHeight w:val="510" w:hRule="exact"/>
          <w:jc w:val="center"/>
        </w:trPr>
        <w:tc>
          <w:tcPr>
            <w:tcW w:w="1908" w:type="dxa"/>
            <w:tcBorders>
              <w:top w:val="single" w:color="000000" w:sz="4" w:space="0"/>
              <w:left w:val="single" w:color="000000" w:sz="4" w:space="0"/>
              <w:bottom w:val="single" w:color="000000" w:sz="4" w:space="0"/>
              <w:right w:val="single" w:color="000000" w:sz="4" w:space="0"/>
            </w:tcBorders>
            <w:noWrap w:val="0"/>
            <w:vAlign w:val="center"/>
          </w:tcPr>
          <w:p w14:paraId="6EFAA5A0">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基本账户银行账号</w:t>
            </w:r>
          </w:p>
        </w:tc>
        <w:tc>
          <w:tcPr>
            <w:tcW w:w="1980" w:type="dxa"/>
            <w:gridSpan w:val="2"/>
            <w:tcBorders>
              <w:top w:val="single" w:color="000000" w:sz="4" w:space="0"/>
              <w:left w:val="single" w:color="000000" w:sz="4" w:space="0"/>
              <w:bottom w:val="single" w:color="000000" w:sz="4" w:space="0"/>
              <w:right w:val="single" w:color="000000" w:sz="4" w:space="0"/>
            </w:tcBorders>
            <w:noWrap w:val="0"/>
            <w:vAlign w:val="center"/>
          </w:tcPr>
          <w:p w14:paraId="011F0A10">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528" w:type="dxa"/>
            <w:vMerge w:val="continue"/>
            <w:tcBorders>
              <w:left w:val="single" w:color="000000" w:sz="4" w:space="0"/>
              <w:bottom w:val="single" w:color="000000" w:sz="4" w:space="0"/>
              <w:right w:val="single" w:color="000000" w:sz="4" w:space="0"/>
            </w:tcBorders>
            <w:noWrap w:val="0"/>
            <w:vAlign w:val="center"/>
          </w:tcPr>
          <w:p w14:paraId="56BBBE0B">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c>
          <w:tcPr>
            <w:tcW w:w="1992" w:type="dxa"/>
            <w:gridSpan w:val="3"/>
            <w:tcBorders>
              <w:top w:val="single" w:color="000000" w:sz="4" w:space="0"/>
              <w:left w:val="single" w:color="000000" w:sz="4" w:space="0"/>
              <w:bottom w:val="single" w:color="000000" w:sz="4" w:space="0"/>
              <w:right w:val="single" w:color="000000" w:sz="4" w:space="0"/>
            </w:tcBorders>
            <w:noWrap w:val="0"/>
            <w:vAlign w:val="center"/>
          </w:tcPr>
          <w:p w14:paraId="766877FE">
            <w:pPr>
              <w:pStyle w:val="27"/>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技工</w:t>
            </w:r>
          </w:p>
        </w:tc>
        <w:tc>
          <w:tcPr>
            <w:tcW w:w="2520" w:type="dxa"/>
            <w:gridSpan w:val="2"/>
            <w:tcBorders>
              <w:top w:val="single" w:color="000000" w:sz="4" w:space="0"/>
              <w:left w:val="single" w:color="000000" w:sz="4" w:space="0"/>
              <w:bottom w:val="single" w:color="000000" w:sz="4" w:space="0"/>
              <w:right w:val="single" w:color="000000" w:sz="4" w:space="0"/>
            </w:tcBorders>
            <w:noWrap w:val="0"/>
            <w:vAlign w:val="center"/>
          </w:tcPr>
          <w:p w14:paraId="24829C29">
            <w:pPr>
              <w:keepNext w:val="0"/>
              <w:keepLines w:val="0"/>
              <w:pageBreakBefore w:val="0"/>
              <w:widowControl w:val="0"/>
              <w:kinsoku/>
              <w:wordWrap/>
              <w:overflowPunct/>
              <w:topLinePunct w:val="0"/>
              <w:bidi w:val="0"/>
              <w:snapToGrid/>
              <w:spacing w:line="240" w:lineRule="auto"/>
              <w:ind w:left="0"/>
              <w:jc w:val="center"/>
              <w:textAlignment w:val="auto"/>
              <w:rPr>
                <w:rFonts w:hint="eastAsia" w:ascii="宋体" w:hAnsi="宋体" w:eastAsia="宋体" w:cs="宋体"/>
                <w:color w:val="auto"/>
                <w:spacing w:val="0"/>
                <w:w w:val="100"/>
                <w:sz w:val="21"/>
                <w:szCs w:val="21"/>
                <w:highlight w:val="none"/>
              </w:rPr>
            </w:pPr>
          </w:p>
        </w:tc>
      </w:tr>
      <w:tr w14:paraId="0E52B960">
        <w:tblPrEx>
          <w:tblCellMar>
            <w:top w:w="0" w:type="dxa"/>
            <w:left w:w="0" w:type="dxa"/>
            <w:bottom w:w="0" w:type="dxa"/>
            <w:right w:w="0" w:type="dxa"/>
          </w:tblCellMar>
        </w:tblPrEx>
        <w:trPr>
          <w:trHeight w:val="624" w:hRule="exact"/>
          <w:jc w:val="center"/>
        </w:trPr>
        <w:tc>
          <w:tcPr>
            <w:tcW w:w="1908" w:type="dxa"/>
            <w:tcBorders>
              <w:top w:val="single" w:color="000000" w:sz="4" w:space="0"/>
              <w:left w:val="single" w:color="000000" w:sz="4" w:space="0"/>
              <w:bottom w:val="single" w:color="000000" w:sz="4" w:space="0"/>
              <w:right w:val="single" w:color="000000" w:sz="4" w:space="0"/>
            </w:tcBorders>
            <w:noWrap w:val="0"/>
            <w:vAlign w:val="center"/>
          </w:tcPr>
          <w:p w14:paraId="3D01342F">
            <w:pPr>
              <w:pStyle w:val="27"/>
              <w:keepNext w:val="0"/>
              <w:keepLines w:val="0"/>
              <w:pageBreakBefore w:val="0"/>
              <w:widowControl w:val="0"/>
              <w:kinsoku/>
              <w:wordWrap/>
              <w:overflowPunct/>
              <w:topLinePunct w:val="0"/>
              <w:autoSpaceDE w:val="0"/>
              <w:autoSpaceDN w:val="0"/>
              <w:bidi w:val="0"/>
              <w:adjustRightInd w:val="0"/>
              <w:snapToGrid/>
              <w:spacing w:line="240" w:lineRule="auto"/>
              <w:ind w:left="0" w:right="0" w:firstLine="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经营范围</w:t>
            </w:r>
          </w:p>
        </w:tc>
        <w:tc>
          <w:tcPr>
            <w:tcW w:w="7020" w:type="dxa"/>
            <w:gridSpan w:val="8"/>
            <w:tcBorders>
              <w:top w:val="single" w:color="000000" w:sz="4" w:space="0"/>
              <w:left w:val="single" w:color="000000" w:sz="4" w:space="0"/>
              <w:bottom w:val="single" w:color="000000" w:sz="4" w:space="0"/>
              <w:right w:val="single" w:color="000000" w:sz="4" w:space="0"/>
            </w:tcBorders>
            <w:noWrap w:val="0"/>
            <w:vAlign w:val="center"/>
          </w:tcPr>
          <w:p w14:paraId="6CC16A0D">
            <w:pPr>
              <w:spacing w:line="240" w:lineRule="auto"/>
              <w:jc w:val="both"/>
              <w:rPr>
                <w:rFonts w:hint="eastAsia" w:ascii="宋体" w:hAnsi="宋体" w:eastAsia="宋体" w:cs="宋体"/>
                <w:color w:val="auto"/>
                <w:spacing w:val="0"/>
                <w:w w:val="100"/>
                <w:sz w:val="21"/>
                <w:szCs w:val="21"/>
                <w:highlight w:val="none"/>
              </w:rPr>
            </w:pPr>
          </w:p>
        </w:tc>
      </w:tr>
      <w:tr w14:paraId="7716F6CC">
        <w:tblPrEx>
          <w:tblCellMar>
            <w:top w:w="0" w:type="dxa"/>
            <w:left w:w="0" w:type="dxa"/>
            <w:bottom w:w="0" w:type="dxa"/>
            <w:right w:w="0" w:type="dxa"/>
          </w:tblCellMar>
        </w:tblPrEx>
        <w:trPr>
          <w:trHeight w:val="3252" w:hRule="exact"/>
          <w:jc w:val="center"/>
        </w:trPr>
        <w:tc>
          <w:tcPr>
            <w:tcW w:w="1908" w:type="dxa"/>
            <w:tcBorders>
              <w:top w:val="single" w:color="000000" w:sz="4" w:space="0"/>
              <w:left w:val="single" w:color="000000" w:sz="4" w:space="0"/>
              <w:bottom w:val="single" w:color="000000" w:sz="4" w:space="0"/>
              <w:right w:val="single" w:color="000000" w:sz="4" w:space="0"/>
            </w:tcBorders>
            <w:noWrap w:val="0"/>
            <w:vAlign w:val="center"/>
          </w:tcPr>
          <w:p w14:paraId="2720813F">
            <w:pPr>
              <w:pStyle w:val="27"/>
              <w:keepNext w:val="0"/>
              <w:keepLines w:val="0"/>
              <w:pageBreakBefore w:val="0"/>
              <w:widowControl w:val="0"/>
              <w:kinsoku/>
              <w:wordWrap/>
              <w:overflowPunct/>
              <w:topLinePunct w:val="0"/>
              <w:autoSpaceDE w:val="0"/>
              <w:autoSpaceDN w:val="0"/>
              <w:bidi w:val="0"/>
              <w:adjustRightInd w:val="0"/>
              <w:snapToGrid/>
              <w:spacing w:line="240" w:lineRule="auto"/>
              <w:ind w:left="0" w:right="0" w:firstLine="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lang w:val="en-US" w:eastAsia="zh-CN"/>
              </w:rPr>
              <w:t>比选申请</w:t>
            </w:r>
            <w:r>
              <w:rPr>
                <w:rFonts w:hint="eastAsia" w:ascii="宋体" w:hAnsi="宋体" w:eastAsia="宋体" w:cs="宋体"/>
                <w:color w:val="auto"/>
                <w:spacing w:val="0"/>
                <w:w w:val="100"/>
                <w:sz w:val="21"/>
                <w:szCs w:val="21"/>
                <w:highlight w:val="none"/>
              </w:rPr>
              <w:t>人</w:t>
            </w:r>
          </w:p>
          <w:p w14:paraId="196008DB">
            <w:pPr>
              <w:pStyle w:val="27"/>
              <w:keepNext w:val="0"/>
              <w:keepLines w:val="0"/>
              <w:pageBreakBefore w:val="0"/>
              <w:widowControl w:val="0"/>
              <w:kinsoku/>
              <w:wordWrap/>
              <w:overflowPunct/>
              <w:topLinePunct w:val="0"/>
              <w:autoSpaceDE w:val="0"/>
              <w:autoSpaceDN w:val="0"/>
              <w:bidi w:val="0"/>
              <w:adjustRightInd w:val="0"/>
              <w:snapToGrid/>
              <w:spacing w:line="240" w:lineRule="auto"/>
              <w:ind w:left="0" w:right="0" w:firstLine="0"/>
              <w:jc w:val="center"/>
              <w:textAlignment w:val="auto"/>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关联企业情况</w:t>
            </w:r>
          </w:p>
        </w:tc>
        <w:tc>
          <w:tcPr>
            <w:tcW w:w="7020" w:type="dxa"/>
            <w:gridSpan w:val="8"/>
            <w:tcBorders>
              <w:top w:val="single" w:color="000000" w:sz="4" w:space="0"/>
              <w:left w:val="single" w:color="000000" w:sz="4" w:space="0"/>
              <w:bottom w:val="single" w:color="000000" w:sz="4" w:space="0"/>
              <w:right w:val="single" w:color="000000" w:sz="4" w:space="0"/>
            </w:tcBorders>
            <w:noWrap w:val="0"/>
            <w:vAlign w:val="center"/>
          </w:tcPr>
          <w:p w14:paraId="3A342706">
            <w:pPr>
              <w:pStyle w:val="27"/>
              <w:spacing w:line="240" w:lineRule="auto"/>
              <w:jc w:val="both"/>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lang w:val="en-US" w:eastAsia="zh-CN"/>
              </w:rPr>
              <w:t>比选申请</w:t>
            </w:r>
            <w:r>
              <w:rPr>
                <w:rFonts w:hint="eastAsia" w:ascii="宋体" w:hAnsi="宋体" w:eastAsia="宋体" w:cs="宋体"/>
                <w:color w:val="auto"/>
                <w:spacing w:val="0"/>
                <w:w w:val="100"/>
                <w:sz w:val="21"/>
                <w:szCs w:val="21"/>
                <w:highlight w:val="none"/>
              </w:rPr>
              <w:t>人应提供关联企业情况，包括：</w:t>
            </w:r>
          </w:p>
          <w:p w14:paraId="1E4FECC8">
            <w:pPr>
              <w:pStyle w:val="27"/>
              <w:spacing w:line="240" w:lineRule="auto"/>
              <w:ind w:firstLine="9"/>
              <w:jc w:val="both"/>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（1）</w:t>
            </w:r>
            <w:r>
              <w:rPr>
                <w:rFonts w:hint="eastAsia" w:ascii="宋体" w:hAnsi="宋体" w:eastAsia="宋体" w:cs="宋体"/>
                <w:color w:val="auto"/>
                <w:spacing w:val="0"/>
                <w:w w:val="100"/>
                <w:sz w:val="21"/>
                <w:szCs w:val="21"/>
                <w:highlight w:val="none"/>
                <w:lang w:val="en-US" w:eastAsia="zh-CN"/>
              </w:rPr>
              <w:t>比选申请</w:t>
            </w:r>
            <w:r>
              <w:rPr>
                <w:rFonts w:hint="eastAsia" w:ascii="宋体" w:hAnsi="宋体" w:eastAsia="宋体" w:cs="宋体"/>
                <w:color w:val="auto"/>
                <w:spacing w:val="0"/>
                <w:w w:val="100"/>
                <w:sz w:val="21"/>
                <w:szCs w:val="21"/>
                <w:highlight w:val="none"/>
              </w:rPr>
              <w:t>人的所有股东名称及相应股权（出资额）比例：如</w:t>
            </w:r>
            <w:r>
              <w:rPr>
                <w:rFonts w:hint="eastAsia" w:ascii="宋体" w:hAnsi="宋体" w:eastAsia="宋体" w:cs="宋体"/>
                <w:color w:val="auto"/>
                <w:spacing w:val="0"/>
                <w:w w:val="100"/>
                <w:sz w:val="21"/>
                <w:szCs w:val="21"/>
                <w:highlight w:val="none"/>
                <w:lang w:val="en-US" w:eastAsia="zh-CN"/>
              </w:rPr>
              <w:t>比选申请</w:t>
            </w:r>
            <w:r>
              <w:rPr>
                <w:rFonts w:hint="eastAsia" w:ascii="宋体" w:hAnsi="宋体" w:eastAsia="宋体" w:cs="宋体"/>
                <w:color w:val="auto"/>
                <w:spacing w:val="0"/>
                <w:w w:val="100"/>
                <w:sz w:val="21"/>
                <w:szCs w:val="21"/>
                <w:highlight w:val="none"/>
              </w:rPr>
              <w:t>人为上市公司，</w:t>
            </w:r>
            <w:r>
              <w:rPr>
                <w:rFonts w:hint="eastAsia" w:ascii="宋体" w:hAnsi="宋体" w:eastAsia="宋体" w:cs="宋体"/>
                <w:color w:val="auto"/>
                <w:spacing w:val="0"/>
                <w:w w:val="100"/>
                <w:sz w:val="21"/>
                <w:szCs w:val="21"/>
                <w:highlight w:val="none"/>
                <w:lang w:val="en-US" w:eastAsia="zh-CN"/>
              </w:rPr>
              <w:t>比选申请</w:t>
            </w:r>
            <w:r>
              <w:rPr>
                <w:rFonts w:hint="eastAsia" w:ascii="宋体" w:hAnsi="宋体" w:eastAsia="宋体" w:cs="宋体"/>
                <w:color w:val="auto"/>
                <w:spacing w:val="0"/>
                <w:w w:val="100"/>
                <w:sz w:val="21"/>
                <w:szCs w:val="21"/>
                <w:highlight w:val="none"/>
              </w:rPr>
              <w:t>人应提供股权占公司股份总数</w:t>
            </w:r>
            <w:r>
              <w:rPr>
                <w:rFonts w:hint="eastAsia" w:ascii="宋体" w:hAnsi="宋体" w:eastAsia="宋体" w:cs="宋体"/>
                <w:color w:val="auto"/>
                <w:spacing w:val="0"/>
                <w:w w:val="100"/>
                <w:sz w:val="21"/>
                <w:szCs w:val="21"/>
                <w:highlight w:val="none"/>
                <w:u w:val="single"/>
              </w:rPr>
              <w:t xml:space="preserve"> 50 </w:t>
            </w:r>
            <w:r>
              <w:rPr>
                <w:rFonts w:hint="eastAsia" w:ascii="宋体" w:hAnsi="宋体" w:eastAsia="宋体" w:cs="宋体"/>
                <w:color w:val="auto"/>
                <w:spacing w:val="0"/>
                <w:w w:val="100"/>
                <w:sz w:val="21"/>
                <w:szCs w:val="21"/>
                <w:highlight w:val="none"/>
              </w:rPr>
              <w:t>%以上的所有股东名称及相应股权比例；</w:t>
            </w:r>
          </w:p>
          <w:p w14:paraId="6DD4AD71">
            <w:pPr>
              <w:pStyle w:val="27"/>
              <w:spacing w:line="240" w:lineRule="auto"/>
              <w:ind w:firstLine="14"/>
              <w:jc w:val="both"/>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（2）</w:t>
            </w:r>
            <w:r>
              <w:rPr>
                <w:rFonts w:hint="eastAsia" w:ascii="宋体" w:hAnsi="宋体" w:eastAsia="宋体" w:cs="宋体"/>
                <w:color w:val="auto"/>
                <w:spacing w:val="0"/>
                <w:w w:val="100"/>
                <w:sz w:val="21"/>
                <w:szCs w:val="21"/>
                <w:highlight w:val="none"/>
                <w:lang w:val="en-US" w:eastAsia="zh-CN"/>
              </w:rPr>
              <w:t>比选申请</w:t>
            </w:r>
            <w:r>
              <w:rPr>
                <w:rFonts w:hint="eastAsia" w:ascii="宋体" w:hAnsi="宋体" w:eastAsia="宋体" w:cs="宋体"/>
                <w:color w:val="auto"/>
                <w:spacing w:val="0"/>
                <w:w w:val="100"/>
                <w:sz w:val="21"/>
                <w:szCs w:val="21"/>
                <w:highlight w:val="none"/>
              </w:rPr>
              <w:t>人投资（控股）或管理的下属企业名称 、持有股权（出资额）比例；</w:t>
            </w:r>
          </w:p>
          <w:p w14:paraId="4A37002D">
            <w:pPr>
              <w:pStyle w:val="27"/>
              <w:spacing w:line="240" w:lineRule="auto"/>
              <w:jc w:val="both"/>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（3）与</w:t>
            </w:r>
            <w:r>
              <w:rPr>
                <w:rFonts w:hint="eastAsia" w:ascii="宋体" w:hAnsi="宋体" w:eastAsia="宋体" w:cs="宋体"/>
                <w:color w:val="auto"/>
                <w:spacing w:val="0"/>
                <w:w w:val="100"/>
                <w:sz w:val="21"/>
                <w:szCs w:val="21"/>
                <w:highlight w:val="none"/>
                <w:lang w:val="en-US" w:eastAsia="zh-CN"/>
              </w:rPr>
              <w:t>比选申请</w:t>
            </w:r>
            <w:r>
              <w:rPr>
                <w:rFonts w:hint="eastAsia" w:ascii="宋体" w:hAnsi="宋体" w:eastAsia="宋体" w:cs="宋体"/>
                <w:color w:val="auto"/>
                <w:spacing w:val="0"/>
                <w:w w:val="100"/>
                <w:sz w:val="21"/>
                <w:szCs w:val="21"/>
                <w:highlight w:val="none"/>
              </w:rPr>
              <w:t>人单位负责人 （即法定代表人） 为同一人的其他单位名称。</w:t>
            </w:r>
          </w:p>
        </w:tc>
      </w:tr>
      <w:tr w14:paraId="25A78019">
        <w:tblPrEx>
          <w:tblCellMar>
            <w:top w:w="0" w:type="dxa"/>
            <w:left w:w="0" w:type="dxa"/>
            <w:bottom w:w="0" w:type="dxa"/>
            <w:right w:w="0" w:type="dxa"/>
          </w:tblCellMar>
        </w:tblPrEx>
        <w:trPr>
          <w:trHeight w:val="513" w:hRule="exact"/>
          <w:jc w:val="center"/>
        </w:trPr>
        <w:tc>
          <w:tcPr>
            <w:tcW w:w="1908" w:type="dxa"/>
            <w:tcBorders>
              <w:top w:val="single" w:color="000000" w:sz="4" w:space="0"/>
              <w:left w:val="single" w:color="000000" w:sz="4" w:space="0"/>
              <w:bottom w:val="single" w:color="000000" w:sz="4" w:space="0"/>
              <w:right w:val="single" w:color="000000" w:sz="4" w:space="0"/>
            </w:tcBorders>
            <w:noWrap w:val="0"/>
            <w:vAlign w:val="center"/>
          </w:tcPr>
          <w:p w14:paraId="5983016E">
            <w:pPr>
              <w:pStyle w:val="27"/>
              <w:spacing w:before="112" w:line="240" w:lineRule="auto"/>
              <w:ind w:left="18"/>
              <w:jc w:val="center"/>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w w:val="100"/>
                <w:sz w:val="21"/>
                <w:szCs w:val="21"/>
                <w:highlight w:val="none"/>
              </w:rPr>
              <w:t>备注</w:t>
            </w:r>
          </w:p>
        </w:tc>
        <w:tc>
          <w:tcPr>
            <w:tcW w:w="7020" w:type="dxa"/>
            <w:gridSpan w:val="8"/>
            <w:tcBorders>
              <w:top w:val="single" w:color="000000" w:sz="4" w:space="0"/>
              <w:left w:val="single" w:color="000000" w:sz="4" w:space="0"/>
              <w:bottom w:val="single" w:color="000000" w:sz="4" w:space="0"/>
              <w:right w:val="single" w:color="000000" w:sz="4" w:space="0"/>
            </w:tcBorders>
            <w:noWrap w:val="0"/>
            <w:vAlign w:val="center"/>
          </w:tcPr>
          <w:p w14:paraId="4B2CAF2A">
            <w:pPr>
              <w:spacing w:line="240" w:lineRule="auto"/>
              <w:jc w:val="both"/>
              <w:rPr>
                <w:rFonts w:hint="eastAsia" w:ascii="宋体" w:hAnsi="宋体" w:eastAsia="宋体" w:cs="宋体"/>
                <w:color w:val="auto"/>
                <w:spacing w:val="0"/>
                <w:w w:val="100"/>
                <w:sz w:val="21"/>
                <w:szCs w:val="21"/>
                <w:highlight w:val="none"/>
              </w:rPr>
            </w:pPr>
          </w:p>
        </w:tc>
      </w:tr>
    </w:tbl>
    <w:p w14:paraId="7B451F06">
      <w:pPr>
        <w:spacing w:line="360" w:lineRule="auto"/>
        <w:ind w:left="-199" w:leftChars="-95" w:firstLine="417" w:firstLineChars="199"/>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t>注：（1）本表后应附</w:t>
      </w: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企业营业执照副本、资质证书、安全生产许可证（依法不需要提供的除外），以上所需资料均提供复印件或扫描件放入</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w:t>
      </w:r>
    </w:p>
    <w:p w14:paraId="3D3D2CFD">
      <w:pPr>
        <w:spacing w:line="360" w:lineRule="auto"/>
        <w:ind w:left="-199" w:leftChars="-95" w:firstLine="417" w:firstLineChars="199"/>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r>
        <w:rPr>
          <w:rFonts w:hint="eastAsia" w:ascii="Times New Roman" w:hAnsi="Times New Roman" w:cs="Times New Roman"/>
          <w:color w:val="000000"/>
          <w:szCs w:val="21"/>
          <w:highlight w:val="none"/>
          <w:lang w:val="en-US" w:eastAsia="zh-CN"/>
        </w:rPr>
        <w:t>2</w:t>
      </w:r>
      <w:r>
        <w:rPr>
          <w:rFonts w:ascii="Times New Roman" w:hAnsi="Times New Roman" w:cs="Times New Roman"/>
          <w:color w:val="000000"/>
          <w:szCs w:val="21"/>
          <w:highlight w:val="none"/>
        </w:rPr>
        <w:t>）企业注册地不在四川省行政区域内的省外设计施工企业须提供在有效期内的</w:t>
      </w:r>
      <w:r>
        <w:rPr>
          <w:rFonts w:ascii="Times New Roman" w:hAnsi="Times New Roman" w:cs="Times New Roman"/>
          <w:color w:val="000000"/>
          <w:kern w:val="0"/>
          <w:szCs w:val="21"/>
          <w:highlight w:val="none"/>
        </w:rPr>
        <w:t>四川省住房和城乡建设厅官网已公开的入川信息网页截图</w:t>
      </w:r>
      <w:r>
        <w:rPr>
          <w:rFonts w:ascii="Times New Roman" w:hAnsi="Times New Roman" w:cs="Times New Roman"/>
          <w:color w:val="000000"/>
          <w:szCs w:val="21"/>
          <w:highlight w:val="none"/>
        </w:rPr>
        <w:t>，以上所需资料均提供复印件或扫描件放入</w:t>
      </w:r>
      <w:r>
        <w:rPr>
          <w:rFonts w:hint="eastAsia" w:ascii="Times New Roman" w:hAnsi="Times New Roman" w:cs="Times New Roman"/>
          <w:color w:val="000000"/>
          <w:szCs w:val="21"/>
          <w:highlight w:val="none"/>
        </w:rPr>
        <w:t>比选申请文件</w:t>
      </w:r>
      <w:r>
        <w:rPr>
          <w:rFonts w:ascii="Times New Roman" w:hAnsi="Times New Roman" w:cs="Times New Roman"/>
          <w:color w:val="000000"/>
          <w:szCs w:val="21"/>
          <w:highlight w:val="none"/>
        </w:rPr>
        <w:t>。</w:t>
      </w:r>
    </w:p>
    <w:p w14:paraId="1A9C1CF0">
      <w:pPr>
        <w:spacing w:line="360" w:lineRule="auto"/>
        <w:rPr>
          <w:rFonts w:ascii="Times New Roman" w:hAnsi="Times New Roman" w:cs="Times New Roman"/>
          <w:color w:val="000000"/>
          <w:kern w:val="0"/>
          <w:szCs w:val="21"/>
          <w:highlight w:val="none"/>
        </w:rPr>
      </w:pPr>
    </w:p>
    <w:p w14:paraId="3BBB4C96">
      <w:pPr>
        <w:widowControl/>
        <w:spacing w:line="360" w:lineRule="auto"/>
        <w:jc w:val="left"/>
        <w:rPr>
          <w:rFonts w:ascii="Times New Roman" w:hAnsi="Times New Roman" w:cs="Times New Roman"/>
          <w:color w:val="000000"/>
          <w:kern w:val="0"/>
          <w:szCs w:val="21"/>
          <w:highlight w:val="none"/>
        </w:rPr>
      </w:pPr>
      <w:r>
        <w:rPr>
          <w:rFonts w:ascii="Times New Roman" w:hAnsi="Times New Roman" w:cs="Times New Roman"/>
          <w:color w:val="000000"/>
          <w:kern w:val="0"/>
          <w:szCs w:val="21"/>
          <w:highlight w:val="none"/>
        </w:rPr>
        <w:br w:type="page"/>
      </w:r>
    </w:p>
    <w:p w14:paraId="6A648AC3">
      <w:pPr>
        <w:pStyle w:val="5"/>
        <w:spacing w:before="280" w:after="290"/>
        <w:jc w:val="center"/>
        <w:rPr>
          <w:rFonts w:ascii="Times New Roman" w:hAnsi="Times New Roman"/>
          <w:color w:val="000000"/>
          <w:sz w:val="28"/>
          <w:highlight w:val="none"/>
        </w:rPr>
      </w:pPr>
      <w:r>
        <w:rPr>
          <w:rFonts w:ascii="Times New Roman" w:hAnsi="Times New Roman"/>
          <w:color w:val="000000"/>
          <w:sz w:val="28"/>
          <w:highlight w:val="none"/>
        </w:rPr>
        <w:t>(二)</w:t>
      </w:r>
      <w:r>
        <w:rPr>
          <w:rFonts w:hint="eastAsia" w:ascii="宋体" w:hAnsi="宋体"/>
          <w:color w:val="auto"/>
          <w:sz w:val="28"/>
          <w:szCs w:val="28"/>
          <w:highlight w:val="none"/>
        </w:rPr>
        <w:t>近年类似项目情况表</w:t>
      </w:r>
    </w:p>
    <w:tbl>
      <w:tblPr>
        <w:tblStyle w:val="15"/>
        <w:tblW w:w="512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66"/>
        <w:gridCol w:w="1973"/>
        <w:gridCol w:w="1408"/>
        <w:gridCol w:w="1409"/>
        <w:gridCol w:w="1227"/>
      </w:tblGrid>
      <w:tr w14:paraId="02FBE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87" w:type="pct"/>
            <w:tcBorders>
              <w:top w:val="single" w:color="auto" w:sz="4" w:space="0"/>
              <w:left w:val="single" w:color="auto" w:sz="4" w:space="0"/>
            </w:tcBorders>
            <w:noWrap w:val="0"/>
            <w:vAlign w:val="center"/>
          </w:tcPr>
          <w:p w14:paraId="10ED9DCB">
            <w:pPr>
              <w:pStyle w:val="28"/>
              <w:spacing w:line="276"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项目或指标</w:t>
            </w:r>
          </w:p>
        </w:tc>
        <w:tc>
          <w:tcPr>
            <w:tcW w:w="1086" w:type="pct"/>
            <w:tcBorders>
              <w:top w:val="single" w:color="auto" w:sz="4" w:space="0"/>
            </w:tcBorders>
            <w:noWrap w:val="0"/>
            <w:vAlign w:val="center"/>
          </w:tcPr>
          <w:p w14:paraId="2C700C0A">
            <w:pPr>
              <w:pStyle w:val="28"/>
              <w:spacing w:line="276"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775" w:type="pct"/>
            <w:tcBorders>
              <w:top w:val="single" w:color="auto" w:sz="4" w:space="0"/>
            </w:tcBorders>
            <w:noWrap w:val="0"/>
            <w:vAlign w:val="center"/>
          </w:tcPr>
          <w:p w14:paraId="6665623D">
            <w:pPr>
              <w:pStyle w:val="28"/>
              <w:spacing w:line="276"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w:t>
            </w:r>
          </w:p>
        </w:tc>
        <w:tc>
          <w:tcPr>
            <w:tcW w:w="775" w:type="pct"/>
            <w:tcBorders>
              <w:top w:val="single" w:color="auto" w:sz="4" w:space="0"/>
            </w:tcBorders>
            <w:noWrap w:val="0"/>
            <w:vAlign w:val="center"/>
          </w:tcPr>
          <w:p w14:paraId="271B9438">
            <w:pPr>
              <w:pStyle w:val="28"/>
              <w:spacing w:line="276"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w:t>
            </w:r>
          </w:p>
        </w:tc>
        <w:tc>
          <w:tcPr>
            <w:tcW w:w="675" w:type="pct"/>
            <w:tcBorders>
              <w:top w:val="single" w:color="auto" w:sz="4" w:space="0"/>
              <w:right w:val="single" w:color="auto" w:sz="4" w:space="0"/>
            </w:tcBorders>
            <w:noWrap w:val="0"/>
            <w:vAlign w:val="center"/>
          </w:tcPr>
          <w:p w14:paraId="4545D8FD">
            <w:pPr>
              <w:pStyle w:val="28"/>
              <w:spacing w:line="276"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w:t>
            </w:r>
          </w:p>
        </w:tc>
      </w:tr>
      <w:tr w14:paraId="0597A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87" w:type="pct"/>
            <w:tcBorders>
              <w:left w:val="single" w:color="auto" w:sz="4" w:space="0"/>
            </w:tcBorders>
            <w:noWrap w:val="0"/>
            <w:vAlign w:val="center"/>
          </w:tcPr>
          <w:p w14:paraId="0E206BC0">
            <w:pPr>
              <w:pStyle w:val="28"/>
              <w:spacing w:line="276"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工程名称</w:t>
            </w:r>
          </w:p>
        </w:tc>
        <w:tc>
          <w:tcPr>
            <w:tcW w:w="1086" w:type="pct"/>
            <w:noWrap w:val="0"/>
            <w:vAlign w:val="top"/>
          </w:tcPr>
          <w:p w14:paraId="2C84CDD1">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586908B4">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2F21EAE5">
            <w:pPr>
              <w:pStyle w:val="28"/>
              <w:spacing w:line="276" w:lineRule="auto"/>
              <w:jc w:val="center"/>
              <w:rPr>
                <w:rFonts w:hint="eastAsia" w:ascii="宋体" w:hAnsi="宋体" w:cs="宋体"/>
                <w:color w:val="auto"/>
                <w:kern w:val="0"/>
                <w:szCs w:val="21"/>
                <w:highlight w:val="none"/>
              </w:rPr>
            </w:pPr>
          </w:p>
        </w:tc>
        <w:tc>
          <w:tcPr>
            <w:tcW w:w="675" w:type="pct"/>
            <w:tcBorders>
              <w:right w:val="single" w:color="auto" w:sz="4" w:space="0"/>
            </w:tcBorders>
            <w:noWrap w:val="0"/>
            <w:vAlign w:val="center"/>
          </w:tcPr>
          <w:p w14:paraId="0DF43FA6">
            <w:pPr>
              <w:pStyle w:val="28"/>
              <w:spacing w:line="276" w:lineRule="auto"/>
              <w:jc w:val="center"/>
              <w:rPr>
                <w:rFonts w:hint="eastAsia" w:ascii="宋体" w:hAnsi="宋体" w:cs="宋体"/>
                <w:color w:val="auto"/>
                <w:kern w:val="0"/>
                <w:szCs w:val="21"/>
                <w:highlight w:val="none"/>
              </w:rPr>
            </w:pPr>
          </w:p>
        </w:tc>
      </w:tr>
      <w:tr w14:paraId="46777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87" w:type="pct"/>
            <w:tcBorders>
              <w:left w:val="single" w:color="auto" w:sz="4" w:space="0"/>
            </w:tcBorders>
            <w:noWrap w:val="0"/>
            <w:vAlign w:val="center"/>
          </w:tcPr>
          <w:p w14:paraId="3BCE041C">
            <w:pPr>
              <w:pStyle w:val="28"/>
              <w:spacing w:line="276"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建设地点</w:t>
            </w:r>
          </w:p>
        </w:tc>
        <w:tc>
          <w:tcPr>
            <w:tcW w:w="1086" w:type="pct"/>
            <w:noWrap w:val="0"/>
            <w:vAlign w:val="top"/>
          </w:tcPr>
          <w:p w14:paraId="3BDC6932">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4DB35051">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40C8B55C">
            <w:pPr>
              <w:pStyle w:val="28"/>
              <w:spacing w:line="276" w:lineRule="auto"/>
              <w:jc w:val="center"/>
              <w:rPr>
                <w:rFonts w:hint="eastAsia" w:ascii="宋体" w:hAnsi="宋体" w:cs="宋体"/>
                <w:color w:val="auto"/>
                <w:kern w:val="0"/>
                <w:szCs w:val="21"/>
                <w:highlight w:val="none"/>
              </w:rPr>
            </w:pPr>
          </w:p>
        </w:tc>
        <w:tc>
          <w:tcPr>
            <w:tcW w:w="675" w:type="pct"/>
            <w:tcBorders>
              <w:right w:val="single" w:color="auto" w:sz="4" w:space="0"/>
            </w:tcBorders>
            <w:noWrap w:val="0"/>
            <w:vAlign w:val="center"/>
          </w:tcPr>
          <w:p w14:paraId="1CB2227E">
            <w:pPr>
              <w:pStyle w:val="28"/>
              <w:spacing w:line="276" w:lineRule="auto"/>
              <w:jc w:val="center"/>
              <w:rPr>
                <w:rFonts w:hint="eastAsia" w:ascii="宋体" w:hAnsi="宋体" w:cs="宋体"/>
                <w:color w:val="auto"/>
                <w:kern w:val="0"/>
                <w:szCs w:val="21"/>
                <w:highlight w:val="none"/>
              </w:rPr>
            </w:pPr>
          </w:p>
        </w:tc>
      </w:tr>
      <w:tr w14:paraId="6EDE5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87" w:type="pct"/>
            <w:tcBorders>
              <w:left w:val="single" w:color="auto" w:sz="4" w:space="0"/>
            </w:tcBorders>
            <w:noWrap w:val="0"/>
            <w:vAlign w:val="center"/>
          </w:tcPr>
          <w:p w14:paraId="0C27C6EE">
            <w:pPr>
              <w:pStyle w:val="28"/>
              <w:spacing w:line="276"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标段名称</w:t>
            </w:r>
          </w:p>
        </w:tc>
        <w:tc>
          <w:tcPr>
            <w:tcW w:w="1086" w:type="pct"/>
            <w:noWrap w:val="0"/>
            <w:vAlign w:val="top"/>
          </w:tcPr>
          <w:p w14:paraId="48ED5ABC">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0121DC0E">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68FA11B9">
            <w:pPr>
              <w:pStyle w:val="28"/>
              <w:spacing w:line="276" w:lineRule="auto"/>
              <w:jc w:val="center"/>
              <w:rPr>
                <w:rFonts w:hint="eastAsia" w:ascii="宋体" w:hAnsi="宋体" w:cs="宋体"/>
                <w:color w:val="auto"/>
                <w:kern w:val="0"/>
                <w:szCs w:val="21"/>
                <w:highlight w:val="none"/>
              </w:rPr>
            </w:pPr>
          </w:p>
        </w:tc>
        <w:tc>
          <w:tcPr>
            <w:tcW w:w="675" w:type="pct"/>
            <w:tcBorders>
              <w:right w:val="single" w:color="auto" w:sz="4" w:space="0"/>
            </w:tcBorders>
            <w:noWrap w:val="0"/>
            <w:vAlign w:val="center"/>
          </w:tcPr>
          <w:p w14:paraId="39BCD346">
            <w:pPr>
              <w:pStyle w:val="28"/>
              <w:spacing w:line="276" w:lineRule="auto"/>
              <w:jc w:val="center"/>
              <w:rPr>
                <w:rFonts w:hint="eastAsia" w:ascii="宋体" w:hAnsi="宋体" w:cs="宋体"/>
                <w:color w:val="auto"/>
                <w:kern w:val="0"/>
                <w:szCs w:val="21"/>
                <w:highlight w:val="none"/>
              </w:rPr>
            </w:pPr>
          </w:p>
        </w:tc>
      </w:tr>
      <w:tr w14:paraId="0BDF4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87" w:type="pct"/>
            <w:tcBorders>
              <w:left w:val="single" w:color="auto" w:sz="4" w:space="0"/>
            </w:tcBorders>
            <w:noWrap w:val="0"/>
            <w:vAlign w:val="center"/>
          </w:tcPr>
          <w:p w14:paraId="593CF195">
            <w:pPr>
              <w:pStyle w:val="28"/>
              <w:spacing w:line="276" w:lineRule="auto"/>
              <w:jc w:val="center"/>
              <w:rPr>
                <w:rFonts w:hint="eastAsia" w:ascii="宋体" w:hAnsi="宋体" w:cs="宋体"/>
                <w:color w:val="auto"/>
                <w:kern w:val="0"/>
                <w:szCs w:val="21"/>
                <w:highlight w:val="none"/>
              </w:rPr>
            </w:pPr>
            <w:r>
              <w:rPr>
                <w:rFonts w:hint="eastAsia" w:ascii="宋体" w:hAnsi="宋体" w:cs="宋体"/>
                <w:color w:val="auto"/>
                <w:szCs w:val="21"/>
                <w:highlight w:val="none"/>
              </w:rPr>
              <w:t>工程内容</w:t>
            </w:r>
          </w:p>
        </w:tc>
        <w:tc>
          <w:tcPr>
            <w:tcW w:w="1086" w:type="pct"/>
            <w:noWrap w:val="0"/>
            <w:vAlign w:val="top"/>
          </w:tcPr>
          <w:p w14:paraId="161EAD89">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170EB61F">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55013334">
            <w:pPr>
              <w:pStyle w:val="28"/>
              <w:spacing w:line="276" w:lineRule="auto"/>
              <w:jc w:val="center"/>
              <w:rPr>
                <w:rFonts w:hint="eastAsia" w:ascii="宋体" w:hAnsi="宋体" w:cs="宋体"/>
                <w:color w:val="auto"/>
                <w:kern w:val="0"/>
                <w:szCs w:val="21"/>
                <w:highlight w:val="none"/>
              </w:rPr>
            </w:pPr>
          </w:p>
        </w:tc>
        <w:tc>
          <w:tcPr>
            <w:tcW w:w="675" w:type="pct"/>
            <w:tcBorders>
              <w:right w:val="single" w:color="auto" w:sz="4" w:space="0"/>
            </w:tcBorders>
            <w:noWrap w:val="0"/>
            <w:vAlign w:val="center"/>
          </w:tcPr>
          <w:p w14:paraId="40FA882E">
            <w:pPr>
              <w:pStyle w:val="28"/>
              <w:spacing w:line="276" w:lineRule="auto"/>
              <w:jc w:val="center"/>
              <w:rPr>
                <w:rFonts w:hint="eastAsia" w:ascii="宋体" w:hAnsi="宋体" w:cs="宋体"/>
                <w:color w:val="auto"/>
                <w:kern w:val="0"/>
                <w:szCs w:val="21"/>
                <w:highlight w:val="none"/>
              </w:rPr>
            </w:pPr>
          </w:p>
        </w:tc>
      </w:tr>
      <w:tr w14:paraId="6C2C4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87" w:type="pct"/>
            <w:tcBorders>
              <w:left w:val="single" w:color="auto" w:sz="4" w:space="0"/>
            </w:tcBorders>
            <w:noWrap w:val="0"/>
            <w:vAlign w:val="center"/>
          </w:tcPr>
          <w:p w14:paraId="7C80E38A">
            <w:pPr>
              <w:pStyle w:val="28"/>
              <w:spacing w:line="276" w:lineRule="auto"/>
              <w:jc w:val="center"/>
              <w:rPr>
                <w:rFonts w:hint="eastAsia" w:ascii="宋体" w:hAnsi="宋体" w:cs="宋体"/>
                <w:color w:val="auto"/>
                <w:kern w:val="0"/>
                <w:szCs w:val="21"/>
                <w:highlight w:val="none"/>
              </w:rPr>
            </w:pPr>
            <w:r>
              <w:rPr>
                <w:rFonts w:hint="eastAsia" w:ascii="宋体" w:hAnsi="宋体" w:cs="宋体"/>
                <w:color w:val="auto"/>
                <w:szCs w:val="21"/>
                <w:highlight w:val="none"/>
              </w:rPr>
              <w:t>工程规模</w:t>
            </w:r>
          </w:p>
        </w:tc>
        <w:tc>
          <w:tcPr>
            <w:tcW w:w="1086" w:type="pct"/>
            <w:noWrap w:val="0"/>
            <w:vAlign w:val="top"/>
          </w:tcPr>
          <w:p w14:paraId="1F1F3024">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344D66FD">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0297E5AA">
            <w:pPr>
              <w:pStyle w:val="28"/>
              <w:spacing w:line="276" w:lineRule="auto"/>
              <w:jc w:val="center"/>
              <w:rPr>
                <w:rFonts w:hint="eastAsia" w:ascii="宋体" w:hAnsi="宋体" w:cs="宋体"/>
                <w:color w:val="auto"/>
                <w:kern w:val="0"/>
                <w:szCs w:val="21"/>
                <w:highlight w:val="none"/>
              </w:rPr>
            </w:pPr>
          </w:p>
        </w:tc>
        <w:tc>
          <w:tcPr>
            <w:tcW w:w="675" w:type="pct"/>
            <w:tcBorders>
              <w:right w:val="single" w:color="auto" w:sz="4" w:space="0"/>
            </w:tcBorders>
            <w:noWrap w:val="0"/>
            <w:vAlign w:val="center"/>
          </w:tcPr>
          <w:p w14:paraId="383074AD">
            <w:pPr>
              <w:pStyle w:val="28"/>
              <w:spacing w:line="276" w:lineRule="auto"/>
              <w:jc w:val="center"/>
              <w:rPr>
                <w:rFonts w:hint="eastAsia" w:ascii="宋体" w:hAnsi="宋体" w:cs="宋体"/>
                <w:color w:val="auto"/>
                <w:kern w:val="0"/>
                <w:szCs w:val="21"/>
                <w:highlight w:val="none"/>
              </w:rPr>
            </w:pPr>
          </w:p>
        </w:tc>
      </w:tr>
      <w:tr w14:paraId="0D63A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87" w:type="pct"/>
            <w:tcBorders>
              <w:left w:val="single" w:color="auto" w:sz="4" w:space="0"/>
            </w:tcBorders>
            <w:noWrap w:val="0"/>
            <w:vAlign w:val="center"/>
          </w:tcPr>
          <w:p w14:paraId="7D0F5205">
            <w:pPr>
              <w:pStyle w:val="28"/>
              <w:spacing w:line="276"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合同金额</w:t>
            </w:r>
          </w:p>
        </w:tc>
        <w:tc>
          <w:tcPr>
            <w:tcW w:w="1086" w:type="pct"/>
            <w:noWrap w:val="0"/>
            <w:vAlign w:val="top"/>
          </w:tcPr>
          <w:p w14:paraId="4E899BCD">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6BE2CD81">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1C0A7A31">
            <w:pPr>
              <w:pStyle w:val="28"/>
              <w:spacing w:line="276" w:lineRule="auto"/>
              <w:jc w:val="center"/>
              <w:rPr>
                <w:rFonts w:hint="eastAsia" w:ascii="宋体" w:hAnsi="宋体" w:cs="宋体"/>
                <w:color w:val="auto"/>
                <w:kern w:val="0"/>
                <w:szCs w:val="21"/>
                <w:highlight w:val="none"/>
              </w:rPr>
            </w:pPr>
          </w:p>
        </w:tc>
        <w:tc>
          <w:tcPr>
            <w:tcW w:w="675" w:type="pct"/>
            <w:tcBorders>
              <w:right w:val="single" w:color="auto" w:sz="4" w:space="0"/>
            </w:tcBorders>
            <w:noWrap w:val="0"/>
            <w:vAlign w:val="center"/>
          </w:tcPr>
          <w:p w14:paraId="7C7654BC">
            <w:pPr>
              <w:pStyle w:val="28"/>
              <w:spacing w:line="276" w:lineRule="auto"/>
              <w:jc w:val="center"/>
              <w:rPr>
                <w:rFonts w:hint="eastAsia" w:ascii="宋体" w:hAnsi="宋体" w:cs="宋体"/>
                <w:color w:val="auto"/>
                <w:kern w:val="0"/>
                <w:szCs w:val="21"/>
                <w:highlight w:val="none"/>
              </w:rPr>
            </w:pPr>
          </w:p>
        </w:tc>
      </w:tr>
      <w:tr w14:paraId="6A62E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87" w:type="pct"/>
            <w:tcBorders>
              <w:left w:val="single" w:color="auto" w:sz="4" w:space="0"/>
            </w:tcBorders>
            <w:noWrap w:val="0"/>
            <w:vAlign w:val="center"/>
          </w:tcPr>
          <w:p w14:paraId="3E2794D7">
            <w:pPr>
              <w:pStyle w:val="28"/>
              <w:spacing w:line="276"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合同签订时间</w:t>
            </w:r>
          </w:p>
        </w:tc>
        <w:tc>
          <w:tcPr>
            <w:tcW w:w="1086" w:type="pct"/>
            <w:noWrap w:val="0"/>
            <w:vAlign w:val="top"/>
          </w:tcPr>
          <w:p w14:paraId="70326272">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41961D94">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42896CEE">
            <w:pPr>
              <w:pStyle w:val="28"/>
              <w:spacing w:line="276" w:lineRule="auto"/>
              <w:jc w:val="center"/>
              <w:rPr>
                <w:rFonts w:hint="eastAsia" w:ascii="宋体" w:hAnsi="宋体" w:cs="宋体"/>
                <w:color w:val="auto"/>
                <w:kern w:val="0"/>
                <w:szCs w:val="21"/>
                <w:highlight w:val="none"/>
              </w:rPr>
            </w:pPr>
          </w:p>
        </w:tc>
        <w:tc>
          <w:tcPr>
            <w:tcW w:w="675" w:type="pct"/>
            <w:tcBorders>
              <w:right w:val="single" w:color="auto" w:sz="4" w:space="0"/>
            </w:tcBorders>
            <w:noWrap w:val="0"/>
            <w:vAlign w:val="center"/>
          </w:tcPr>
          <w:p w14:paraId="530554FB">
            <w:pPr>
              <w:pStyle w:val="28"/>
              <w:spacing w:line="276" w:lineRule="auto"/>
              <w:jc w:val="center"/>
              <w:rPr>
                <w:rFonts w:hint="eastAsia" w:ascii="宋体" w:hAnsi="宋体" w:cs="宋体"/>
                <w:color w:val="auto"/>
                <w:kern w:val="0"/>
                <w:szCs w:val="21"/>
                <w:highlight w:val="none"/>
              </w:rPr>
            </w:pPr>
          </w:p>
        </w:tc>
      </w:tr>
      <w:tr w14:paraId="63F06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87" w:type="pct"/>
            <w:tcBorders>
              <w:left w:val="single" w:color="auto" w:sz="4" w:space="0"/>
            </w:tcBorders>
            <w:noWrap w:val="0"/>
            <w:vAlign w:val="center"/>
          </w:tcPr>
          <w:p w14:paraId="3C9636FC">
            <w:pPr>
              <w:pStyle w:val="28"/>
              <w:spacing w:line="276"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交工时间（如有）</w:t>
            </w:r>
          </w:p>
        </w:tc>
        <w:tc>
          <w:tcPr>
            <w:tcW w:w="1086" w:type="pct"/>
            <w:noWrap w:val="0"/>
            <w:vAlign w:val="top"/>
          </w:tcPr>
          <w:p w14:paraId="4C7CBB9C">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54C5E3E8">
            <w:pPr>
              <w:pStyle w:val="28"/>
              <w:spacing w:line="276" w:lineRule="auto"/>
              <w:jc w:val="center"/>
              <w:rPr>
                <w:rFonts w:hint="eastAsia" w:ascii="宋体" w:hAnsi="宋体" w:cs="宋体"/>
                <w:color w:val="auto"/>
                <w:kern w:val="0"/>
                <w:szCs w:val="21"/>
                <w:highlight w:val="none"/>
              </w:rPr>
            </w:pPr>
          </w:p>
        </w:tc>
        <w:tc>
          <w:tcPr>
            <w:tcW w:w="775" w:type="pct"/>
            <w:noWrap w:val="0"/>
            <w:vAlign w:val="center"/>
          </w:tcPr>
          <w:p w14:paraId="7B1DC341">
            <w:pPr>
              <w:pStyle w:val="28"/>
              <w:spacing w:line="276" w:lineRule="auto"/>
              <w:jc w:val="center"/>
              <w:rPr>
                <w:rFonts w:hint="eastAsia" w:ascii="宋体" w:hAnsi="宋体" w:cs="宋体"/>
                <w:color w:val="auto"/>
                <w:kern w:val="0"/>
                <w:szCs w:val="21"/>
                <w:highlight w:val="none"/>
              </w:rPr>
            </w:pPr>
          </w:p>
        </w:tc>
        <w:tc>
          <w:tcPr>
            <w:tcW w:w="675" w:type="pct"/>
            <w:tcBorders>
              <w:right w:val="single" w:color="auto" w:sz="4" w:space="0"/>
            </w:tcBorders>
            <w:noWrap w:val="0"/>
            <w:vAlign w:val="center"/>
          </w:tcPr>
          <w:p w14:paraId="2B38CCDC">
            <w:pPr>
              <w:pStyle w:val="28"/>
              <w:spacing w:line="276" w:lineRule="auto"/>
              <w:jc w:val="center"/>
              <w:rPr>
                <w:rFonts w:hint="eastAsia" w:ascii="宋体" w:hAnsi="宋体" w:cs="宋体"/>
                <w:color w:val="auto"/>
                <w:kern w:val="0"/>
                <w:szCs w:val="21"/>
                <w:highlight w:val="none"/>
              </w:rPr>
            </w:pPr>
          </w:p>
        </w:tc>
      </w:tr>
      <w:tr w14:paraId="4C9A6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687" w:type="pct"/>
            <w:tcBorders>
              <w:left w:val="single" w:color="auto" w:sz="4" w:space="0"/>
              <w:bottom w:val="single" w:color="auto" w:sz="4" w:space="0"/>
            </w:tcBorders>
            <w:noWrap w:val="0"/>
            <w:vAlign w:val="center"/>
          </w:tcPr>
          <w:p w14:paraId="58ABCCA9">
            <w:pPr>
              <w:pStyle w:val="28"/>
              <w:spacing w:line="276" w:lineRule="auto"/>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发包人单位全称</w:t>
            </w:r>
          </w:p>
        </w:tc>
        <w:tc>
          <w:tcPr>
            <w:tcW w:w="1086" w:type="pct"/>
            <w:tcBorders>
              <w:bottom w:val="single" w:color="auto" w:sz="4" w:space="0"/>
            </w:tcBorders>
            <w:noWrap w:val="0"/>
            <w:vAlign w:val="top"/>
          </w:tcPr>
          <w:p w14:paraId="6A87F77B">
            <w:pPr>
              <w:pStyle w:val="28"/>
              <w:spacing w:line="276" w:lineRule="auto"/>
              <w:jc w:val="center"/>
              <w:rPr>
                <w:rFonts w:hint="eastAsia" w:ascii="宋体" w:hAnsi="宋体" w:cs="宋体"/>
                <w:color w:val="auto"/>
                <w:kern w:val="0"/>
                <w:szCs w:val="21"/>
                <w:highlight w:val="none"/>
              </w:rPr>
            </w:pPr>
          </w:p>
        </w:tc>
        <w:tc>
          <w:tcPr>
            <w:tcW w:w="775" w:type="pct"/>
            <w:tcBorders>
              <w:bottom w:val="single" w:color="auto" w:sz="4" w:space="0"/>
            </w:tcBorders>
            <w:noWrap w:val="0"/>
            <w:vAlign w:val="center"/>
          </w:tcPr>
          <w:p w14:paraId="72DD460D">
            <w:pPr>
              <w:pStyle w:val="28"/>
              <w:spacing w:line="276" w:lineRule="auto"/>
              <w:jc w:val="center"/>
              <w:rPr>
                <w:rFonts w:hint="eastAsia" w:ascii="宋体" w:hAnsi="宋体" w:cs="宋体"/>
                <w:color w:val="auto"/>
                <w:kern w:val="0"/>
                <w:szCs w:val="21"/>
                <w:highlight w:val="none"/>
              </w:rPr>
            </w:pPr>
          </w:p>
        </w:tc>
        <w:tc>
          <w:tcPr>
            <w:tcW w:w="775" w:type="pct"/>
            <w:tcBorders>
              <w:bottom w:val="single" w:color="auto" w:sz="4" w:space="0"/>
            </w:tcBorders>
            <w:noWrap w:val="0"/>
            <w:vAlign w:val="center"/>
          </w:tcPr>
          <w:p w14:paraId="789C3299">
            <w:pPr>
              <w:pStyle w:val="28"/>
              <w:spacing w:line="276" w:lineRule="auto"/>
              <w:jc w:val="center"/>
              <w:rPr>
                <w:rFonts w:hint="eastAsia" w:ascii="宋体" w:hAnsi="宋体" w:cs="宋体"/>
                <w:color w:val="auto"/>
                <w:kern w:val="0"/>
                <w:szCs w:val="21"/>
                <w:highlight w:val="none"/>
              </w:rPr>
            </w:pPr>
          </w:p>
        </w:tc>
        <w:tc>
          <w:tcPr>
            <w:tcW w:w="675" w:type="pct"/>
            <w:tcBorders>
              <w:bottom w:val="single" w:color="auto" w:sz="4" w:space="0"/>
              <w:right w:val="single" w:color="auto" w:sz="4" w:space="0"/>
            </w:tcBorders>
            <w:noWrap w:val="0"/>
            <w:vAlign w:val="center"/>
          </w:tcPr>
          <w:p w14:paraId="22466057">
            <w:pPr>
              <w:pStyle w:val="28"/>
              <w:spacing w:line="276" w:lineRule="auto"/>
              <w:jc w:val="center"/>
              <w:rPr>
                <w:rFonts w:hint="eastAsia" w:ascii="宋体" w:hAnsi="宋体" w:cs="宋体"/>
                <w:color w:val="auto"/>
                <w:kern w:val="0"/>
                <w:szCs w:val="21"/>
                <w:highlight w:val="none"/>
              </w:rPr>
            </w:pPr>
          </w:p>
        </w:tc>
      </w:tr>
    </w:tbl>
    <w:p w14:paraId="5D0DB434">
      <w:pPr>
        <w:spacing w:line="360" w:lineRule="auto"/>
        <w:rPr>
          <w:rFonts w:ascii="Times New Roman" w:hAnsi="Times New Roman" w:cs="Times New Roman"/>
          <w:color w:val="000000"/>
          <w:highlight w:val="none"/>
        </w:rPr>
      </w:pPr>
    </w:p>
    <w:p w14:paraId="7CBFF452">
      <w:pPr>
        <w:numPr>
          <w:ilvl w:val="-1"/>
          <w:numId w:val="0"/>
        </w:numPr>
        <w:spacing w:line="360" w:lineRule="auto"/>
        <w:ind w:firstLine="0" w:firstLineChars="0"/>
        <w:rPr>
          <w:rFonts w:hint="eastAsia" w:ascii="宋体" w:hAnsi="宋体" w:eastAsia="宋体" w:cs="宋体"/>
          <w:color w:val="auto"/>
          <w:kern w:val="0"/>
          <w:szCs w:val="21"/>
          <w:highlight w:val="none"/>
          <w:lang w:val="en-US" w:eastAsia="zh-CN"/>
        </w:rPr>
      </w:pPr>
      <w:r>
        <w:rPr>
          <w:rFonts w:ascii="Times New Roman" w:hAnsi="Times New Roman" w:cs="Times New Roman"/>
          <w:color w:val="000000"/>
          <w:szCs w:val="21"/>
          <w:highlight w:val="none"/>
        </w:rPr>
        <w:t>注：</w:t>
      </w:r>
      <w:r>
        <w:rPr>
          <w:rFonts w:hint="eastAsia" w:ascii="宋体" w:hAnsi="宋体" w:eastAsia="宋体" w:cs="宋体"/>
          <w:color w:val="auto"/>
          <w:kern w:val="0"/>
          <w:szCs w:val="21"/>
          <w:highlight w:val="none"/>
          <w:lang w:val="en-US" w:eastAsia="zh-CN"/>
        </w:rPr>
        <w:t>本表包含</w:t>
      </w:r>
      <w:r>
        <w:rPr>
          <w:rFonts w:hint="eastAsia" w:ascii="宋体" w:hAnsi="宋体" w:cs="宋体"/>
          <w:color w:val="auto"/>
          <w:kern w:val="0"/>
          <w:szCs w:val="21"/>
          <w:highlight w:val="none"/>
          <w:lang w:val="en-US" w:eastAsia="zh-CN"/>
        </w:rPr>
        <w:t>比选申请</w:t>
      </w:r>
      <w:r>
        <w:rPr>
          <w:rFonts w:hint="eastAsia" w:ascii="宋体" w:hAnsi="宋体" w:eastAsia="宋体" w:cs="宋体"/>
          <w:color w:val="auto"/>
          <w:kern w:val="0"/>
          <w:szCs w:val="21"/>
          <w:highlight w:val="none"/>
          <w:lang w:val="en-US" w:eastAsia="zh-CN"/>
        </w:rPr>
        <w:t>人所承担类似项目业绩，业绩数量按合同个数计，应在此表之后附合同协议书（必须包含合同封面页和签章页）</w:t>
      </w:r>
      <w:r>
        <w:rPr>
          <w:rFonts w:hint="default" w:ascii="宋体" w:hAnsi="宋体" w:eastAsia="宋体" w:cs="宋体"/>
          <w:color w:val="auto"/>
          <w:kern w:val="0"/>
          <w:szCs w:val="21"/>
          <w:highlight w:val="none"/>
          <w:lang w:val="en-US" w:eastAsia="zh-CN"/>
        </w:rPr>
        <w:t>作为业绩证明材料</w:t>
      </w:r>
      <w:r>
        <w:rPr>
          <w:rFonts w:hint="eastAsia" w:ascii="宋体" w:hAnsi="宋体" w:eastAsia="宋体" w:cs="宋体"/>
          <w:color w:val="auto"/>
          <w:kern w:val="0"/>
          <w:szCs w:val="21"/>
          <w:highlight w:val="none"/>
          <w:lang w:val="en-US" w:eastAsia="zh-CN"/>
        </w:rPr>
        <w:t>，</w:t>
      </w:r>
      <w:r>
        <w:rPr>
          <w:rFonts w:hint="default" w:ascii="宋体" w:hAnsi="宋体" w:eastAsia="宋体" w:cs="宋体"/>
          <w:color w:val="auto"/>
          <w:kern w:val="0"/>
          <w:szCs w:val="21"/>
          <w:highlight w:val="none"/>
          <w:lang w:val="en-US" w:eastAsia="zh-CN"/>
        </w:rPr>
        <w:t>证明材料能清楚反映所完成的</w:t>
      </w:r>
      <w:r>
        <w:rPr>
          <w:rFonts w:hint="eastAsia" w:ascii="宋体" w:hAnsi="宋体" w:eastAsia="宋体" w:cs="宋体"/>
          <w:color w:val="auto"/>
          <w:kern w:val="0"/>
          <w:szCs w:val="21"/>
          <w:highlight w:val="none"/>
          <w:lang w:val="en-US" w:eastAsia="zh-CN"/>
        </w:rPr>
        <w:t>项目</w:t>
      </w:r>
      <w:r>
        <w:rPr>
          <w:rFonts w:hint="default" w:ascii="宋体" w:hAnsi="宋体" w:eastAsia="宋体" w:cs="宋体"/>
          <w:color w:val="auto"/>
          <w:kern w:val="0"/>
          <w:szCs w:val="21"/>
          <w:highlight w:val="none"/>
          <w:lang w:val="en-US" w:eastAsia="zh-CN"/>
        </w:rPr>
        <w:t>内容</w:t>
      </w:r>
      <w:r>
        <w:rPr>
          <w:rFonts w:hint="eastAsia" w:ascii="宋体" w:hAnsi="宋体" w:eastAsia="宋体" w:cs="宋体"/>
          <w:color w:val="auto"/>
          <w:kern w:val="0"/>
          <w:szCs w:val="21"/>
          <w:highlight w:val="none"/>
          <w:lang w:val="en-US" w:eastAsia="zh-CN"/>
        </w:rPr>
        <w:t>、合同价款、签订时间</w:t>
      </w:r>
      <w:r>
        <w:rPr>
          <w:rFonts w:hint="default" w:ascii="宋体" w:hAnsi="宋体" w:eastAsia="宋体" w:cs="宋体"/>
          <w:color w:val="auto"/>
          <w:kern w:val="0"/>
          <w:szCs w:val="21"/>
          <w:highlight w:val="none"/>
          <w:lang w:val="en-US" w:eastAsia="zh-CN"/>
        </w:rPr>
        <w:t>，若证明材料不能清晰反映，则该业绩不予认定</w:t>
      </w:r>
      <w:r>
        <w:rPr>
          <w:rFonts w:hint="eastAsia" w:ascii="宋体" w:hAnsi="宋体" w:eastAsia="宋体" w:cs="宋体"/>
          <w:color w:val="auto"/>
          <w:kern w:val="0"/>
          <w:szCs w:val="21"/>
          <w:highlight w:val="none"/>
          <w:lang w:val="en-US" w:eastAsia="zh-CN"/>
        </w:rPr>
        <w:t>。</w:t>
      </w:r>
    </w:p>
    <w:p w14:paraId="3292090B">
      <w:pPr>
        <w:spacing w:line="360" w:lineRule="auto"/>
        <w:ind w:left="-199" w:leftChars="-95" w:firstLine="420" w:firstLineChars="199"/>
        <w:jc w:val="left"/>
        <w:rPr>
          <w:rFonts w:ascii="Times New Roman" w:hAnsi="Times New Roman" w:cs="Times New Roman"/>
          <w:b/>
          <w:bCs/>
          <w:color w:val="000000"/>
          <w:szCs w:val="21"/>
          <w:highlight w:val="none"/>
        </w:rPr>
      </w:pPr>
    </w:p>
    <w:p w14:paraId="41F50557">
      <w:pPr>
        <w:spacing w:line="360" w:lineRule="auto"/>
        <w:jc w:val="left"/>
        <w:rPr>
          <w:rFonts w:ascii="Times New Roman" w:hAnsi="Times New Roman" w:cs="Times New Roman"/>
          <w:color w:val="000000"/>
          <w:szCs w:val="21"/>
          <w:highlight w:val="none"/>
        </w:rPr>
      </w:pPr>
      <w:r>
        <w:rPr>
          <w:rFonts w:ascii="Times New Roman" w:hAnsi="Times New Roman" w:cs="Times New Roman"/>
          <w:color w:val="000000"/>
          <w:szCs w:val="21"/>
          <w:highlight w:val="none"/>
        </w:rPr>
        <w:br w:type="page"/>
      </w:r>
    </w:p>
    <w:p w14:paraId="35ECE3FD">
      <w:pPr>
        <w:pStyle w:val="21"/>
        <w:rPr>
          <w:rFonts w:ascii="Times New Roman"/>
          <w:highlight w:val="none"/>
        </w:rPr>
      </w:pPr>
    </w:p>
    <w:p w14:paraId="7062A6A6">
      <w:pPr>
        <w:keepNext/>
        <w:keepLines/>
        <w:adjustRightInd w:val="0"/>
        <w:snapToGrid w:val="0"/>
        <w:spacing w:line="360" w:lineRule="auto"/>
        <w:jc w:val="center"/>
        <w:rPr>
          <w:rFonts w:hint="eastAsia" w:ascii="宋体" w:hAnsi="宋体"/>
          <w:b/>
          <w:bCs/>
          <w:color w:val="auto"/>
          <w:sz w:val="28"/>
          <w:szCs w:val="28"/>
          <w:highlight w:val="none"/>
        </w:rPr>
      </w:pPr>
      <w:r>
        <w:rPr>
          <w:rFonts w:hint="eastAsia" w:hAnsi="宋体" w:cs="宋体"/>
          <w:b/>
          <w:color w:val="auto"/>
          <w:sz w:val="28"/>
          <w:szCs w:val="28"/>
          <w:highlight w:val="none"/>
          <w:lang w:eastAsia="zh-CN"/>
        </w:rPr>
        <w:t>（</w:t>
      </w:r>
      <w:r>
        <w:rPr>
          <w:rFonts w:hint="eastAsia" w:hAnsi="宋体" w:cs="宋体"/>
          <w:b/>
          <w:color w:val="auto"/>
          <w:sz w:val="28"/>
          <w:szCs w:val="28"/>
          <w:highlight w:val="none"/>
          <w:lang w:val="en-US" w:eastAsia="zh-CN"/>
        </w:rPr>
        <w:t>三</w:t>
      </w:r>
      <w:r>
        <w:rPr>
          <w:rFonts w:hint="eastAsia" w:hAnsi="宋体" w:cs="宋体"/>
          <w:b/>
          <w:color w:val="auto"/>
          <w:sz w:val="28"/>
          <w:szCs w:val="28"/>
          <w:highlight w:val="none"/>
          <w:lang w:eastAsia="zh-CN"/>
        </w:rPr>
        <w:t>）</w:t>
      </w:r>
      <w:r>
        <w:rPr>
          <w:rFonts w:hint="eastAsia" w:ascii="宋体" w:hAnsi="宋体"/>
          <w:b/>
          <w:bCs/>
          <w:color w:val="auto"/>
          <w:sz w:val="28"/>
          <w:szCs w:val="28"/>
          <w:highlight w:val="none"/>
        </w:rPr>
        <w:t>无行贿犯罪的承诺函</w:t>
      </w:r>
    </w:p>
    <w:p w14:paraId="300F8D67">
      <w:pPr>
        <w:spacing w:line="460" w:lineRule="exact"/>
        <w:rPr>
          <w:rFonts w:hint="eastAsia" w:ascii="宋体" w:hAnsi="宋体" w:cs="宋体"/>
          <w:color w:val="auto"/>
          <w:sz w:val="24"/>
          <w:highlight w:val="none"/>
        </w:rPr>
      </w:pPr>
    </w:p>
    <w:p w14:paraId="018E9BC9">
      <w:pPr>
        <w:spacing w:line="360" w:lineRule="auto"/>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比选人</w:t>
      </w:r>
      <w:r>
        <w:rPr>
          <w:rFonts w:hint="eastAsia" w:ascii="宋体" w:hAnsi="宋体" w:cs="宋体"/>
          <w:color w:val="auto"/>
          <w:szCs w:val="21"/>
          <w:highlight w:val="none"/>
          <w:u w:val="single"/>
        </w:rPr>
        <w:t xml:space="preserve">名称）   </w:t>
      </w:r>
      <w:r>
        <w:rPr>
          <w:rFonts w:hint="eastAsia" w:ascii="宋体" w:hAnsi="宋体" w:cs="宋体"/>
          <w:color w:val="auto"/>
          <w:szCs w:val="21"/>
          <w:highlight w:val="none"/>
        </w:rPr>
        <w:t>：</w:t>
      </w:r>
    </w:p>
    <w:p w14:paraId="4AD69AAE">
      <w:pPr>
        <w:spacing w:line="360" w:lineRule="auto"/>
        <w:rPr>
          <w:rFonts w:hint="eastAsia" w:ascii="宋体" w:hAnsi="宋体" w:cs="宋体"/>
          <w:color w:val="auto"/>
          <w:szCs w:val="21"/>
          <w:highlight w:val="none"/>
        </w:rPr>
      </w:pPr>
    </w:p>
    <w:p w14:paraId="5C03DF76">
      <w:pPr>
        <w:spacing w:line="360" w:lineRule="auto"/>
        <w:ind w:firstLine="420" w:firstLineChars="200"/>
        <w:rPr>
          <w:rFonts w:hint="eastAsia" w:ascii="宋体" w:hAnsi="宋体" w:cs="宋体"/>
          <w:color w:val="auto"/>
          <w:highlight w:val="none"/>
        </w:rPr>
      </w:pPr>
      <w:r>
        <w:rPr>
          <w:rFonts w:hint="eastAsia" w:ascii="宋体" w:hAnsi="宋体" w:cs="宋体"/>
          <w:color w:val="auto"/>
          <w:szCs w:val="21"/>
          <w:highlight w:val="none"/>
        </w:rPr>
        <w:t>我单位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比选申请人</w:t>
      </w:r>
      <w:r>
        <w:rPr>
          <w:rFonts w:hint="eastAsia" w:ascii="宋体" w:hAnsi="宋体" w:cs="宋体"/>
          <w:color w:val="auto"/>
          <w:szCs w:val="21"/>
          <w:highlight w:val="none"/>
          <w:u w:val="single"/>
        </w:rPr>
        <w:t xml:space="preserve">名称）   （营业执照或事业单位法人证书编号） </w:t>
      </w: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（姓名）   （身份证号）  </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lang w:val="en-US" w:eastAsia="zh-CN"/>
        </w:rPr>
        <w:t>项目经理</w:t>
      </w:r>
      <w:r>
        <w:rPr>
          <w:rFonts w:hint="eastAsia" w:ascii="宋体" w:hAnsi="宋体" w:cs="宋体"/>
          <w:color w:val="auto"/>
          <w:szCs w:val="21"/>
          <w:highlight w:val="none"/>
          <w:u w:val="single"/>
        </w:rPr>
        <w:t xml:space="preserve">  （姓名）   （身份证号）  </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lang w:val="en-US" w:eastAsia="zh-CN"/>
        </w:rPr>
        <w:t>技术负责人</w:t>
      </w:r>
      <w:r>
        <w:rPr>
          <w:rFonts w:hint="eastAsia" w:ascii="宋体" w:hAnsi="宋体" w:cs="宋体"/>
          <w:color w:val="auto"/>
          <w:szCs w:val="21"/>
          <w:highlight w:val="none"/>
          <w:u w:val="single"/>
        </w:rPr>
        <w:t xml:space="preserve">  （姓名）   （身份证号）  </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lang w:val="en-US" w:eastAsia="zh-CN"/>
        </w:rPr>
        <w:t>安全负责人</w:t>
      </w:r>
      <w:r>
        <w:rPr>
          <w:rFonts w:hint="eastAsia" w:ascii="宋体" w:hAnsi="宋体" w:cs="宋体"/>
          <w:color w:val="auto"/>
          <w:szCs w:val="21"/>
          <w:highlight w:val="none"/>
          <w:u w:val="single"/>
        </w:rPr>
        <w:t xml:space="preserve">  （姓名）   （身份证号）  </w:t>
      </w:r>
      <w:r>
        <w:rPr>
          <w:rFonts w:hint="eastAsia" w:ascii="宋体" w:hAnsi="宋体" w:cs="宋体"/>
          <w:color w:val="auto"/>
          <w:szCs w:val="21"/>
          <w:highlight w:val="none"/>
        </w:rPr>
        <w:t>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日至本项目</w:t>
      </w:r>
      <w:r>
        <w:rPr>
          <w:rFonts w:hint="eastAsia" w:ascii="宋体" w:hAnsi="宋体" w:cs="宋体"/>
          <w:color w:val="auto"/>
          <w:szCs w:val="21"/>
          <w:highlight w:val="none"/>
          <w:lang w:val="en-US" w:eastAsia="zh-CN"/>
        </w:rPr>
        <w:t>比选申请</w:t>
      </w:r>
      <w:r>
        <w:rPr>
          <w:rFonts w:hint="eastAsia" w:ascii="宋体" w:hAnsi="宋体" w:cs="宋体"/>
          <w:color w:val="auto"/>
          <w:szCs w:val="21"/>
          <w:highlight w:val="none"/>
        </w:rPr>
        <w:t>截止日期间，</w:t>
      </w:r>
      <w:r>
        <w:rPr>
          <w:rFonts w:hint="eastAsia" w:ascii="宋体" w:hAnsi="宋体" w:cs="宋体"/>
          <w:color w:val="auto"/>
          <w:szCs w:val="21"/>
          <w:highlight w:val="none"/>
          <w:lang w:val="en-US" w:eastAsia="zh-CN"/>
        </w:rPr>
        <w:t>均</w:t>
      </w:r>
      <w:r>
        <w:rPr>
          <w:rFonts w:hint="eastAsia" w:ascii="宋体" w:hAnsi="宋体" w:cs="宋体"/>
          <w:color w:val="auto"/>
          <w:szCs w:val="21"/>
          <w:highlight w:val="none"/>
        </w:rPr>
        <w:t>没有被人民法院生效判决或裁定认定行贿犯罪（包括行贿罪、单位行贿罪、对单位行贿罪、介绍贿赂罪等）。若在</w:t>
      </w:r>
      <w:r>
        <w:rPr>
          <w:rFonts w:hint="eastAsia" w:ascii="宋体" w:hAnsi="宋体" w:cs="宋体"/>
          <w:color w:val="auto"/>
          <w:szCs w:val="21"/>
          <w:highlight w:val="none"/>
          <w:lang w:eastAsia="zh-CN"/>
        </w:rPr>
        <w:t>中选</w:t>
      </w:r>
      <w:r>
        <w:rPr>
          <w:rFonts w:hint="eastAsia" w:ascii="宋体" w:hAnsi="宋体" w:cs="宋体"/>
          <w:color w:val="auto"/>
          <w:szCs w:val="21"/>
          <w:highlight w:val="none"/>
        </w:rPr>
        <w:t>合同签订之前发现我单位或法定代表人</w:t>
      </w:r>
      <w:r>
        <w:rPr>
          <w:rFonts w:hint="eastAsia" w:ascii="宋体" w:hAnsi="宋体" w:cs="宋体"/>
          <w:color w:val="auto"/>
          <w:szCs w:val="21"/>
          <w:highlight w:val="none"/>
          <w:lang w:val="en-US" w:eastAsia="zh-CN"/>
        </w:rPr>
        <w:t>或项目经理或技术负责人或安全负责人</w:t>
      </w:r>
      <w:r>
        <w:rPr>
          <w:rFonts w:hint="eastAsia" w:ascii="宋体" w:hAnsi="宋体" w:cs="宋体"/>
          <w:color w:val="auto"/>
          <w:szCs w:val="21"/>
          <w:highlight w:val="none"/>
        </w:rPr>
        <w:t>在上述期间存在行犯贿罪的，</w:t>
      </w:r>
      <w:r>
        <w:rPr>
          <w:rFonts w:hint="eastAsia" w:ascii="宋体" w:hAnsi="宋体" w:cs="宋体"/>
          <w:color w:val="auto"/>
          <w:highlight w:val="none"/>
        </w:rPr>
        <w:t>可取消我单位</w:t>
      </w:r>
      <w:r>
        <w:rPr>
          <w:rFonts w:hint="eastAsia" w:ascii="宋体" w:hAnsi="宋体" w:cs="宋体"/>
          <w:color w:val="auto"/>
          <w:highlight w:val="none"/>
          <w:lang w:eastAsia="zh-CN"/>
        </w:rPr>
        <w:t>中选</w:t>
      </w:r>
      <w:r>
        <w:rPr>
          <w:rFonts w:hint="eastAsia" w:ascii="宋体" w:hAnsi="宋体" w:cs="宋体"/>
          <w:color w:val="auto"/>
          <w:highlight w:val="none"/>
        </w:rPr>
        <w:t>候选人或</w:t>
      </w:r>
      <w:r>
        <w:rPr>
          <w:rFonts w:hint="eastAsia" w:ascii="宋体" w:hAnsi="宋体" w:cs="宋体"/>
          <w:color w:val="auto"/>
          <w:highlight w:val="none"/>
          <w:lang w:eastAsia="zh-CN"/>
        </w:rPr>
        <w:t>中选</w:t>
      </w:r>
      <w:r>
        <w:rPr>
          <w:rFonts w:hint="eastAsia" w:ascii="宋体" w:hAnsi="宋体" w:cs="宋体"/>
          <w:color w:val="auto"/>
          <w:highlight w:val="none"/>
        </w:rPr>
        <w:t>人资格。若在合同执行期间</w:t>
      </w:r>
      <w:r>
        <w:rPr>
          <w:rFonts w:hint="eastAsia" w:ascii="宋体" w:hAnsi="宋体" w:cs="宋体"/>
          <w:color w:val="auto"/>
          <w:szCs w:val="21"/>
          <w:highlight w:val="none"/>
        </w:rPr>
        <w:t>发现我单位或法定代表人在上述期间存在行贿犯罪</w:t>
      </w:r>
      <w:r>
        <w:rPr>
          <w:rFonts w:hint="eastAsia" w:ascii="宋体" w:hAnsi="宋体" w:cs="宋体"/>
          <w:color w:val="auto"/>
          <w:highlight w:val="none"/>
        </w:rPr>
        <w:t>的，</w:t>
      </w:r>
      <w:r>
        <w:rPr>
          <w:rFonts w:hint="eastAsia" w:ascii="宋体" w:hAnsi="宋体" w:cs="宋体"/>
          <w:color w:val="auto"/>
          <w:highlight w:val="none"/>
          <w:lang w:eastAsia="zh-CN"/>
        </w:rPr>
        <w:t>可从合同款或履约保证金中扣除签约合同价的</w:t>
      </w:r>
      <w:r>
        <w:rPr>
          <w:rFonts w:hint="eastAsia" w:ascii="宋体" w:hAnsi="宋体" w:cs="宋体"/>
          <w:color w:val="auto"/>
          <w:highlight w:val="none"/>
          <w:lang w:val="en-US" w:eastAsia="zh-CN"/>
        </w:rPr>
        <w:t>1</w:t>
      </w:r>
      <w:r>
        <w:rPr>
          <w:rFonts w:hint="eastAsia" w:ascii="宋体" w:hAnsi="宋体" w:cs="宋体"/>
          <w:color w:val="auto"/>
          <w:highlight w:val="none"/>
          <w:lang w:eastAsia="zh-CN"/>
        </w:rPr>
        <w:t>%作为违约金</w:t>
      </w:r>
      <w:r>
        <w:rPr>
          <w:rFonts w:hint="eastAsia" w:ascii="宋体" w:hAnsi="宋体" w:cs="宋体"/>
          <w:color w:val="auto"/>
          <w:highlight w:val="none"/>
        </w:rPr>
        <w:t>。</w:t>
      </w:r>
    </w:p>
    <w:p w14:paraId="2F89086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特此承诺。</w:t>
      </w:r>
    </w:p>
    <w:p w14:paraId="56D86C1F">
      <w:pPr>
        <w:spacing w:line="360" w:lineRule="auto"/>
        <w:ind w:firstLine="420" w:firstLineChars="200"/>
        <w:rPr>
          <w:rFonts w:hint="eastAsia" w:ascii="宋体" w:hAnsi="宋体" w:cs="宋体"/>
          <w:color w:val="auto"/>
          <w:highlight w:val="none"/>
        </w:rPr>
      </w:pPr>
    </w:p>
    <w:p w14:paraId="19C0C8E5">
      <w:pPr>
        <w:spacing w:line="360" w:lineRule="auto"/>
        <w:ind w:firstLine="420" w:firstLineChars="200"/>
        <w:rPr>
          <w:rFonts w:hint="eastAsia" w:ascii="宋体" w:hAnsi="宋体" w:cs="宋体"/>
          <w:color w:val="auto"/>
          <w:highlight w:val="none"/>
        </w:rPr>
      </w:pPr>
    </w:p>
    <w:p w14:paraId="4743E267">
      <w:pPr>
        <w:pStyle w:val="11"/>
        <w:spacing w:line="440" w:lineRule="exact"/>
        <w:ind w:firstLine="2310" w:firstLineChars="1100"/>
        <w:rPr>
          <w:rFonts w:hint="eastAsia" w:hAnsi="宋体" w:cs="宋体"/>
          <w:color w:val="auto"/>
          <w:highlight w:val="none"/>
          <w:u w:val="single"/>
        </w:rPr>
      </w:pPr>
      <w:r>
        <w:rPr>
          <w:rFonts w:hint="eastAsia" w:hAnsi="宋体" w:cs="宋体"/>
          <w:color w:val="auto"/>
          <w:highlight w:val="none"/>
          <w:lang w:eastAsia="zh-CN"/>
        </w:rPr>
        <w:t>比选申请人</w:t>
      </w:r>
      <w:r>
        <w:rPr>
          <w:rFonts w:hint="eastAsia" w:hAnsi="宋体" w:cs="宋体"/>
          <w:color w:val="auto"/>
          <w:highlight w:val="none"/>
        </w:rPr>
        <w:t>：</w:t>
      </w:r>
      <w:r>
        <w:rPr>
          <w:rFonts w:hint="eastAsia" w:hAnsi="宋体" w:cs="宋体"/>
          <w:color w:val="auto"/>
          <w:highlight w:val="none"/>
          <w:u w:val="single"/>
        </w:rPr>
        <w:t xml:space="preserve">                                   （盖单位章）</w:t>
      </w:r>
    </w:p>
    <w:p w14:paraId="3BC3955B">
      <w:pPr>
        <w:spacing w:line="460" w:lineRule="exact"/>
        <w:ind w:firstLine="2310" w:firstLineChars="1100"/>
        <w:rPr>
          <w:rFonts w:hint="eastAsia" w:ascii="宋体" w:hAnsi="宋体" w:cs="宋体"/>
          <w:color w:val="auto"/>
          <w:szCs w:val="21"/>
          <w:highlight w:val="none"/>
          <w:u w:val="single"/>
        </w:rPr>
      </w:pPr>
      <w:r>
        <w:rPr>
          <w:rFonts w:hint="eastAsia" w:ascii="宋体" w:hAnsi="宋体" w:cs="宋体"/>
          <w:color w:val="auto"/>
          <w:szCs w:val="21"/>
          <w:highlight w:val="none"/>
        </w:rPr>
        <w:t>法定代表人或授权的代理人：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（职务、姓名）（签字）</w:t>
      </w:r>
    </w:p>
    <w:p w14:paraId="454AAEE9">
      <w:pPr>
        <w:pStyle w:val="4"/>
        <w:jc w:val="center"/>
        <w:rPr>
          <w:rFonts w:hint="default" w:eastAsia="宋体"/>
          <w:bCs w:val="0"/>
          <w:color w:val="000000"/>
          <w:sz w:val="28"/>
          <w:highlight w:val="none"/>
          <w:lang w:val="en-US" w:eastAsia="zh-CN"/>
        </w:rPr>
      </w:pPr>
      <w:r>
        <w:rPr>
          <w:rFonts w:hint="eastAsia" w:ascii="宋体" w:hAnsi="宋体" w:cs="宋体"/>
          <w:b w:val="0"/>
          <w:bCs w:val="0"/>
          <w:color w:val="auto"/>
          <w:sz w:val="21"/>
          <w:szCs w:val="21"/>
          <w:highlight w:val="none"/>
          <w:u w:val="none"/>
          <w:lang w:val="en-US" w:eastAsia="zh-CN"/>
        </w:rPr>
        <w:t>日期： 年   月  日</w:t>
      </w:r>
      <w:r>
        <w:rPr>
          <w:rFonts w:hint="eastAsia" w:ascii="宋体" w:hAnsi="宋体" w:cs="宋体"/>
          <w:color w:val="auto"/>
          <w:szCs w:val="21"/>
          <w:highlight w:val="none"/>
          <w:u w:val="single"/>
        </w:rPr>
        <w:br w:type="page"/>
      </w:r>
      <w:r>
        <w:rPr>
          <w:rFonts w:hint="eastAsia"/>
          <w:bCs w:val="0"/>
          <w:color w:val="000000"/>
          <w:sz w:val="28"/>
          <w:highlight w:val="none"/>
          <w:lang w:val="en-US" w:eastAsia="zh-CN"/>
        </w:rPr>
        <w:t>六</w:t>
      </w:r>
      <w:r>
        <w:rPr>
          <w:bCs w:val="0"/>
          <w:color w:val="000000"/>
          <w:sz w:val="28"/>
          <w:highlight w:val="none"/>
        </w:rPr>
        <w:t>、</w:t>
      </w:r>
      <w:r>
        <w:rPr>
          <w:rFonts w:hint="eastAsia"/>
          <w:bCs w:val="0"/>
          <w:color w:val="000000"/>
          <w:sz w:val="28"/>
          <w:highlight w:val="none"/>
          <w:lang w:val="en-US" w:eastAsia="zh-CN"/>
        </w:rPr>
        <w:t>施工组织设计</w:t>
      </w:r>
    </w:p>
    <w:p w14:paraId="0A39A24A">
      <w:pPr>
        <w:spacing w:line="360" w:lineRule="auto"/>
        <w:ind w:firstLine="420" w:firstLineChars="200"/>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比选申请人</w:t>
      </w:r>
      <w:r>
        <w:rPr>
          <w:rFonts w:ascii="Times New Roman" w:hAnsi="Times New Roman" w:cs="Times New Roman"/>
          <w:color w:val="000000"/>
          <w:szCs w:val="21"/>
          <w:highlight w:val="none"/>
        </w:rPr>
        <w:t xml:space="preserve">应参考“第三章 </w:t>
      </w:r>
      <w:r>
        <w:rPr>
          <w:rFonts w:hint="eastAsia" w:ascii="Times New Roman" w:hAnsi="Times New Roman" w:cs="Times New Roman"/>
          <w:color w:val="000000"/>
          <w:szCs w:val="21"/>
          <w:highlight w:val="none"/>
          <w:lang w:eastAsia="zh-CN"/>
        </w:rPr>
        <w:t>评审</w:t>
      </w:r>
      <w:r>
        <w:rPr>
          <w:rFonts w:ascii="Times New Roman" w:hAnsi="Times New Roman" w:cs="Times New Roman"/>
          <w:color w:val="000000"/>
          <w:szCs w:val="21"/>
          <w:highlight w:val="none"/>
        </w:rPr>
        <w:t>办法”中“</w:t>
      </w:r>
      <w:r>
        <w:rPr>
          <w:rFonts w:hint="eastAsia" w:ascii="Times New Roman" w:hAnsi="Times New Roman" w:cs="Times New Roman"/>
          <w:color w:val="000000"/>
          <w:szCs w:val="21"/>
          <w:highlight w:val="none"/>
          <w:lang w:val="en-US" w:eastAsia="zh-CN"/>
        </w:rPr>
        <w:t>技术部分</w:t>
      </w:r>
      <w:r>
        <w:rPr>
          <w:rFonts w:ascii="Times New Roman" w:hAnsi="Times New Roman" w:cs="Times New Roman"/>
          <w:color w:val="000000"/>
          <w:szCs w:val="21"/>
          <w:highlight w:val="none"/>
        </w:rPr>
        <w:t>评分标准”内容编制项目</w:t>
      </w:r>
      <w:r>
        <w:rPr>
          <w:rFonts w:hint="eastAsia" w:ascii="Times New Roman" w:hAnsi="Times New Roman" w:cs="Times New Roman"/>
          <w:color w:val="000000"/>
          <w:szCs w:val="21"/>
          <w:highlight w:val="none"/>
          <w:lang w:val="en-US" w:eastAsia="zh-CN"/>
        </w:rPr>
        <w:t>施工组织设计</w:t>
      </w:r>
      <w:r>
        <w:rPr>
          <w:rFonts w:ascii="Times New Roman" w:hAnsi="Times New Roman" w:cs="Times New Roman"/>
          <w:color w:val="000000"/>
          <w:szCs w:val="21"/>
          <w:highlight w:val="none"/>
        </w:rPr>
        <w:t>，内容及格式自拟。</w:t>
      </w:r>
    </w:p>
    <w:p w14:paraId="3991389D">
      <w:pPr>
        <w:rPr>
          <w:rFonts w:ascii="Times New Roman" w:hAnsi="Times New Roman" w:cs="Times New Roman"/>
          <w:color w:val="000000"/>
          <w:sz w:val="28"/>
          <w:szCs w:val="28"/>
          <w:highlight w:val="none"/>
        </w:rPr>
      </w:pPr>
    </w:p>
    <w:p w14:paraId="425477DE">
      <w:pPr>
        <w:rPr>
          <w:rFonts w:ascii="Times New Roman" w:hAnsi="Times New Roman" w:cs="Times New Roman"/>
          <w:highlight w:val="none"/>
        </w:rPr>
      </w:pPr>
    </w:p>
    <w:p w14:paraId="74A9326B">
      <w:pPr>
        <w:pStyle w:val="8"/>
        <w:rPr>
          <w:highlight w:val="none"/>
        </w:rPr>
      </w:pPr>
    </w:p>
    <w:p w14:paraId="35EA595B">
      <w:pPr>
        <w:pStyle w:val="20"/>
        <w:ind w:firstLine="440"/>
        <w:rPr>
          <w:rFonts w:ascii="Times New Roman" w:hAnsi="Times New Roman" w:cs="Times New Roman"/>
          <w:highlight w:val="none"/>
        </w:rPr>
      </w:pPr>
    </w:p>
    <w:p w14:paraId="63C556A8">
      <w:pPr>
        <w:rPr>
          <w:rFonts w:ascii="Times New Roman" w:hAnsi="Times New Roman" w:cs="Times New Roman"/>
          <w:highlight w:val="none"/>
        </w:rPr>
      </w:pPr>
    </w:p>
    <w:p w14:paraId="626249FE">
      <w:pPr>
        <w:pStyle w:val="8"/>
        <w:rPr>
          <w:highlight w:val="none"/>
        </w:rPr>
      </w:pPr>
    </w:p>
    <w:p w14:paraId="2B75130E">
      <w:pPr>
        <w:pStyle w:val="20"/>
        <w:ind w:firstLine="440"/>
        <w:rPr>
          <w:rFonts w:ascii="Times New Roman" w:hAnsi="Times New Roman" w:cs="Times New Roman"/>
          <w:highlight w:val="none"/>
        </w:rPr>
      </w:pPr>
    </w:p>
    <w:p w14:paraId="5D259E13">
      <w:pPr>
        <w:rPr>
          <w:rFonts w:ascii="Times New Roman" w:hAnsi="Times New Roman" w:cs="Times New Roman"/>
          <w:highlight w:val="none"/>
        </w:rPr>
      </w:pPr>
    </w:p>
    <w:p w14:paraId="6B36A52A">
      <w:pPr>
        <w:pStyle w:val="8"/>
        <w:rPr>
          <w:highlight w:val="none"/>
        </w:rPr>
      </w:pPr>
    </w:p>
    <w:p w14:paraId="3FEA8C38">
      <w:pPr>
        <w:pStyle w:val="20"/>
        <w:ind w:firstLine="440"/>
        <w:rPr>
          <w:rFonts w:ascii="Times New Roman" w:hAnsi="Times New Roman" w:cs="Times New Roman"/>
          <w:highlight w:val="none"/>
        </w:rPr>
      </w:pPr>
    </w:p>
    <w:p w14:paraId="6827715B">
      <w:pPr>
        <w:rPr>
          <w:rFonts w:ascii="Times New Roman" w:hAnsi="Times New Roman" w:cs="Times New Roman"/>
          <w:highlight w:val="none"/>
        </w:rPr>
      </w:pPr>
    </w:p>
    <w:p w14:paraId="6C40FA46">
      <w:pPr>
        <w:pStyle w:val="8"/>
        <w:rPr>
          <w:highlight w:val="none"/>
        </w:rPr>
      </w:pPr>
    </w:p>
    <w:p w14:paraId="22F6833A">
      <w:pPr>
        <w:pStyle w:val="20"/>
        <w:ind w:firstLine="440"/>
        <w:rPr>
          <w:rFonts w:ascii="Times New Roman" w:hAnsi="Times New Roman" w:cs="Times New Roman"/>
          <w:highlight w:val="none"/>
        </w:rPr>
      </w:pPr>
    </w:p>
    <w:p w14:paraId="637FAA49">
      <w:pPr>
        <w:rPr>
          <w:rFonts w:ascii="Times New Roman" w:hAnsi="Times New Roman" w:cs="Times New Roman"/>
          <w:highlight w:val="none"/>
        </w:rPr>
      </w:pPr>
    </w:p>
    <w:p w14:paraId="60CF7BCC">
      <w:pPr>
        <w:pStyle w:val="8"/>
        <w:rPr>
          <w:highlight w:val="none"/>
        </w:rPr>
      </w:pPr>
    </w:p>
    <w:p w14:paraId="5A3C11A1">
      <w:pPr>
        <w:pStyle w:val="20"/>
        <w:ind w:firstLine="440"/>
        <w:rPr>
          <w:rFonts w:ascii="Times New Roman" w:hAnsi="Times New Roman" w:cs="Times New Roman"/>
          <w:highlight w:val="none"/>
        </w:rPr>
      </w:pPr>
    </w:p>
    <w:p w14:paraId="00601F08">
      <w:pPr>
        <w:rPr>
          <w:rFonts w:ascii="Times New Roman" w:hAnsi="Times New Roman" w:cs="Times New Roman"/>
          <w:highlight w:val="none"/>
        </w:rPr>
      </w:pPr>
    </w:p>
    <w:p w14:paraId="572C081A">
      <w:pPr>
        <w:pStyle w:val="8"/>
        <w:rPr>
          <w:highlight w:val="none"/>
        </w:rPr>
      </w:pPr>
    </w:p>
    <w:p w14:paraId="6ED54D22">
      <w:pPr>
        <w:pStyle w:val="20"/>
        <w:ind w:firstLine="440"/>
        <w:rPr>
          <w:rFonts w:ascii="Times New Roman" w:hAnsi="Times New Roman" w:cs="Times New Roman"/>
          <w:highlight w:val="none"/>
        </w:rPr>
      </w:pPr>
    </w:p>
    <w:p w14:paraId="173A6324">
      <w:pPr>
        <w:rPr>
          <w:rFonts w:ascii="Times New Roman" w:hAnsi="Times New Roman" w:cs="Times New Roman"/>
          <w:highlight w:val="none"/>
        </w:rPr>
      </w:pPr>
    </w:p>
    <w:p w14:paraId="083C93B7">
      <w:pPr>
        <w:pStyle w:val="8"/>
        <w:rPr>
          <w:highlight w:val="none"/>
        </w:rPr>
      </w:pPr>
    </w:p>
    <w:p w14:paraId="07CC599E">
      <w:pPr>
        <w:pStyle w:val="20"/>
        <w:ind w:firstLine="440"/>
        <w:rPr>
          <w:rFonts w:ascii="Times New Roman" w:hAnsi="Times New Roman" w:cs="Times New Roman"/>
          <w:highlight w:val="none"/>
        </w:rPr>
      </w:pPr>
    </w:p>
    <w:p w14:paraId="1E604DA7">
      <w:pPr>
        <w:rPr>
          <w:rFonts w:ascii="Times New Roman" w:hAnsi="Times New Roman" w:cs="Times New Roman"/>
          <w:highlight w:val="none"/>
        </w:rPr>
      </w:pPr>
    </w:p>
    <w:p w14:paraId="74AD0035">
      <w:pPr>
        <w:pStyle w:val="8"/>
        <w:rPr>
          <w:highlight w:val="none"/>
        </w:rPr>
      </w:pPr>
    </w:p>
    <w:p w14:paraId="19383298">
      <w:pPr>
        <w:pStyle w:val="20"/>
        <w:ind w:firstLine="440"/>
        <w:rPr>
          <w:rFonts w:ascii="Times New Roman" w:hAnsi="Times New Roman" w:cs="Times New Roman"/>
          <w:highlight w:val="none"/>
        </w:rPr>
      </w:pPr>
    </w:p>
    <w:p w14:paraId="1C27C56D">
      <w:pPr>
        <w:rPr>
          <w:rFonts w:ascii="Times New Roman" w:hAnsi="Times New Roman" w:cs="Times New Roman"/>
          <w:highlight w:val="none"/>
        </w:rPr>
      </w:pPr>
    </w:p>
    <w:p w14:paraId="3B91A754">
      <w:pPr>
        <w:pStyle w:val="8"/>
        <w:rPr>
          <w:highlight w:val="none"/>
        </w:rPr>
      </w:pPr>
    </w:p>
    <w:p w14:paraId="1559794F">
      <w:pPr>
        <w:pStyle w:val="20"/>
        <w:ind w:firstLine="440"/>
        <w:rPr>
          <w:rFonts w:ascii="Times New Roman" w:hAnsi="Times New Roman" w:cs="Times New Roman"/>
          <w:highlight w:val="none"/>
        </w:rPr>
      </w:pPr>
    </w:p>
    <w:p w14:paraId="3FA75E3F">
      <w:pPr>
        <w:rPr>
          <w:rFonts w:ascii="Times New Roman" w:hAnsi="Times New Roman" w:cs="Times New Roman"/>
          <w:highlight w:val="none"/>
        </w:rPr>
      </w:pPr>
    </w:p>
    <w:p w14:paraId="55E8A97D">
      <w:pPr>
        <w:pStyle w:val="8"/>
        <w:rPr>
          <w:highlight w:val="none"/>
        </w:rPr>
      </w:pPr>
    </w:p>
    <w:p w14:paraId="246950FB">
      <w:pPr>
        <w:pStyle w:val="20"/>
        <w:ind w:firstLine="440"/>
        <w:rPr>
          <w:rFonts w:ascii="Times New Roman" w:hAnsi="Times New Roman" w:cs="Times New Roman"/>
          <w:highlight w:val="none"/>
        </w:rPr>
      </w:pPr>
    </w:p>
    <w:p w14:paraId="5FE2F332">
      <w:pPr>
        <w:rPr>
          <w:rFonts w:ascii="Times New Roman" w:hAnsi="Times New Roman" w:cs="Times New Roman"/>
          <w:highlight w:val="none"/>
        </w:rPr>
      </w:pPr>
    </w:p>
    <w:p w14:paraId="416BBD56">
      <w:pPr>
        <w:pStyle w:val="8"/>
        <w:rPr>
          <w:highlight w:val="none"/>
        </w:rPr>
      </w:pPr>
    </w:p>
    <w:p w14:paraId="62AFF439">
      <w:pPr>
        <w:rPr>
          <w:rFonts w:ascii="Times New Roman" w:hAnsi="Times New Roman" w:cs="Times New Roman"/>
          <w:highlight w:val="none"/>
        </w:rPr>
      </w:pPr>
    </w:p>
    <w:p w14:paraId="721D6EED">
      <w:pPr>
        <w:pStyle w:val="21"/>
        <w:rPr>
          <w:highlight w:val="none"/>
        </w:rPr>
      </w:pPr>
    </w:p>
    <w:p w14:paraId="3F264DAA">
      <w:pPr>
        <w:ind w:firstLine="2811" w:firstLineChars="1000"/>
        <w:jc w:val="both"/>
        <w:rPr>
          <w:b/>
          <w:bCs/>
          <w:sz w:val="28"/>
          <w:szCs w:val="28"/>
        </w:rPr>
      </w:pPr>
      <w:r>
        <w:rPr>
          <w:rFonts w:hint="eastAsia"/>
          <w:b/>
          <w:bCs/>
          <w:sz w:val="28"/>
          <w:szCs w:val="28"/>
          <w:lang w:val="en-US" w:eastAsia="zh-CN"/>
        </w:rPr>
        <w:t>七</w:t>
      </w:r>
      <w:r>
        <w:rPr>
          <w:b/>
          <w:bCs/>
          <w:sz w:val="28"/>
          <w:szCs w:val="28"/>
        </w:rPr>
        <w:t>、</w:t>
      </w:r>
      <w:r>
        <w:rPr>
          <w:rFonts w:hint="eastAsia"/>
          <w:b/>
          <w:bCs/>
          <w:sz w:val="28"/>
          <w:szCs w:val="28"/>
        </w:rPr>
        <w:t>其它</w:t>
      </w:r>
      <w:r>
        <w:rPr>
          <w:b/>
          <w:bCs/>
          <w:sz w:val="28"/>
          <w:szCs w:val="28"/>
        </w:rPr>
        <w:t>资料</w:t>
      </w:r>
    </w:p>
    <w:p w14:paraId="5775582C">
      <w:pPr>
        <w:jc w:val="center"/>
        <w:rPr>
          <w:highlight w:val="none"/>
        </w:rPr>
      </w:pPr>
      <w:r>
        <w:rPr>
          <w:rFonts w:hint="eastAsia"/>
          <w:b/>
          <w:bCs/>
          <w:highlight w:val="none"/>
        </w:rPr>
        <w:t>（以下资料应全部加盖比选申请人单位公章）</w:t>
      </w:r>
    </w:p>
    <w:p w14:paraId="751D28A9">
      <w:pPr>
        <w:pStyle w:val="14"/>
        <w:spacing w:line="240" w:lineRule="auto"/>
        <w:ind w:left="0" w:leftChars="0" w:firstLine="0" w:firstLineChars="0"/>
        <w:rPr>
          <w:rFonts w:hint="eastAsia" w:hAnsi="宋体"/>
          <w:bCs/>
          <w:kern w:val="2"/>
          <w:sz w:val="21"/>
          <w:szCs w:val="21"/>
          <w:highlight w:val="none"/>
        </w:rPr>
      </w:pPr>
      <w:r>
        <w:rPr>
          <w:rFonts w:ascii="Times New Roman" w:hAnsi="Times New Roman" w:cs="Times New Roman"/>
          <w:color w:val="000000"/>
          <w:szCs w:val="21"/>
          <w:highlight w:val="none"/>
        </w:rPr>
        <w:t>1、</w:t>
      </w:r>
      <w:r>
        <w:rPr>
          <w:rFonts w:hint="eastAsia" w:hAnsi="宋体"/>
          <w:bCs/>
          <w:kern w:val="2"/>
          <w:sz w:val="21"/>
          <w:szCs w:val="21"/>
          <w:highlight w:val="none"/>
        </w:rPr>
        <w:t>“在信用中国”网站中比选申请人（单位）查询网页信息资料影印件。查询指引：进入‘信用中国’网站（https://www.creditchina.gov.cn/），在首页点击“信用服务”找到“失信被执行人”进入“中国执行信息公开网”网站（http://zxgk.court.gov.cn/shixin/），在查询栏中输入比选申请人（单位）全称及组织机构代码等信息，输入验证码，点击查询。</w:t>
      </w:r>
    </w:p>
    <w:p w14:paraId="498778B2">
      <w:pPr>
        <w:pStyle w:val="14"/>
        <w:spacing w:line="240" w:lineRule="auto"/>
        <w:ind w:left="0" w:leftChars="0" w:firstLine="0" w:firstLineChars="0"/>
        <w:rPr>
          <w:rFonts w:hint="eastAsia" w:hAnsi="宋体"/>
          <w:bCs/>
          <w:kern w:val="2"/>
          <w:sz w:val="21"/>
          <w:szCs w:val="21"/>
          <w:highlight w:val="none"/>
        </w:rPr>
      </w:pPr>
      <w:r>
        <w:rPr>
          <w:rFonts w:hint="eastAsia" w:hAnsi="宋体"/>
          <w:bCs/>
          <w:kern w:val="2"/>
          <w:sz w:val="21"/>
          <w:szCs w:val="21"/>
          <w:highlight w:val="none"/>
        </w:rPr>
        <w:t>截图示例：</w:t>
      </w:r>
    </w:p>
    <w:p w14:paraId="6F3199A7">
      <w:pPr>
        <w:pStyle w:val="8"/>
        <w:rPr>
          <w:highlight w:val="none"/>
        </w:rPr>
      </w:pPr>
      <w:r>
        <w:rPr>
          <w:rFonts w:ascii="Times New Roman" w:eastAsiaTheme="minorEastAsia"/>
          <w:kern w:val="2"/>
          <w:sz w:val="21"/>
          <w:szCs w:val="21"/>
          <w:highlight w:val="none"/>
        </w:rPr>
        <w:drawing>
          <wp:inline distT="0" distB="0" distL="114300" distR="114300">
            <wp:extent cx="5388610" cy="4038600"/>
            <wp:effectExtent l="0" t="0" r="0" b="0"/>
            <wp:docPr id="2" name="图片 2" descr="C:/Users/admin/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Desktop/图片1.png图片1"/>
                    <pic:cNvPicPr>
                      <a:picLocks noChangeAspect="1"/>
                    </pic:cNvPicPr>
                  </pic:nvPicPr>
                  <pic:blipFill>
                    <a:blip r:embed="rId12"/>
                    <a:srcRect t="1588" b="1282"/>
                    <a:stretch>
                      <a:fillRect/>
                    </a:stretch>
                  </pic:blipFill>
                  <pic:spPr>
                    <a:xfrm>
                      <a:off x="0" y="0"/>
                      <a:ext cx="5388610" cy="4038600"/>
                    </a:xfrm>
                    <a:prstGeom prst="rect">
                      <a:avLst/>
                    </a:prstGeom>
                  </pic:spPr>
                </pic:pic>
              </a:graphicData>
            </a:graphic>
          </wp:inline>
        </w:drawing>
      </w:r>
    </w:p>
    <w:p w14:paraId="7DD7A7AD">
      <w:pPr>
        <w:widowControl/>
        <w:numPr>
          <w:ilvl w:val="255"/>
          <w:numId w:val="0"/>
        </w:numPr>
        <w:spacing w:line="480" w:lineRule="auto"/>
        <w:jc w:val="left"/>
        <w:rPr>
          <w:rFonts w:hint="eastAsia" w:ascii="宋体" w:hAnsi="宋体" w:cs="Times New Roman"/>
          <w:szCs w:val="28"/>
          <w:highlight w:val="none"/>
        </w:rPr>
      </w:pPr>
    </w:p>
    <w:p w14:paraId="32FDF99B">
      <w:pPr>
        <w:widowControl/>
        <w:numPr>
          <w:ilvl w:val="255"/>
          <w:numId w:val="0"/>
        </w:numPr>
        <w:spacing w:line="480" w:lineRule="auto"/>
        <w:jc w:val="left"/>
        <w:rPr>
          <w:rFonts w:hint="eastAsia" w:ascii="宋体" w:hAnsi="宋体" w:cs="Times New Roman"/>
          <w:szCs w:val="28"/>
          <w:highlight w:val="none"/>
        </w:rPr>
      </w:pPr>
    </w:p>
    <w:p w14:paraId="36B3AC75">
      <w:pPr>
        <w:widowControl/>
        <w:numPr>
          <w:ilvl w:val="255"/>
          <w:numId w:val="0"/>
        </w:numPr>
        <w:spacing w:line="480" w:lineRule="auto"/>
        <w:jc w:val="left"/>
        <w:rPr>
          <w:rFonts w:hint="eastAsia" w:ascii="宋体" w:hAnsi="宋体" w:cs="Times New Roman"/>
          <w:szCs w:val="28"/>
          <w:highlight w:val="none"/>
        </w:rPr>
      </w:pPr>
    </w:p>
    <w:p w14:paraId="25486EAC">
      <w:pPr>
        <w:widowControl/>
        <w:numPr>
          <w:ilvl w:val="255"/>
          <w:numId w:val="0"/>
        </w:numPr>
        <w:spacing w:line="480" w:lineRule="auto"/>
        <w:jc w:val="left"/>
        <w:rPr>
          <w:rFonts w:hint="eastAsia" w:ascii="宋体" w:hAnsi="宋体" w:cs="Times New Roman"/>
          <w:szCs w:val="28"/>
          <w:highlight w:val="none"/>
        </w:rPr>
      </w:pPr>
    </w:p>
    <w:p w14:paraId="6E206266">
      <w:pPr>
        <w:widowControl/>
        <w:numPr>
          <w:ilvl w:val="255"/>
          <w:numId w:val="0"/>
        </w:numPr>
        <w:spacing w:line="480" w:lineRule="auto"/>
        <w:jc w:val="left"/>
        <w:rPr>
          <w:rFonts w:hint="eastAsia" w:ascii="宋体" w:hAnsi="宋体" w:cs="Times New Roman"/>
          <w:szCs w:val="28"/>
          <w:highlight w:val="none"/>
        </w:rPr>
      </w:pPr>
    </w:p>
    <w:p w14:paraId="4D1D48B3">
      <w:pPr>
        <w:widowControl/>
        <w:numPr>
          <w:ilvl w:val="255"/>
          <w:numId w:val="0"/>
        </w:numPr>
        <w:spacing w:line="480" w:lineRule="auto"/>
        <w:jc w:val="left"/>
        <w:rPr>
          <w:rFonts w:hint="eastAsia" w:ascii="宋体" w:hAnsi="宋体" w:cs="Times New Roman"/>
          <w:szCs w:val="28"/>
          <w:highlight w:val="none"/>
        </w:rPr>
      </w:pPr>
    </w:p>
    <w:p w14:paraId="03CD7748">
      <w:pPr>
        <w:widowControl/>
        <w:numPr>
          <w:ilvl w:val="255"/>
          <w:numId w:val="0"/>
        </w:numPr>
        <w:spacing w:line="480" w:lineRule="auto"/>
        <w:jc w:val="left"/>
        <w:rPr>
          <w:rFonts w:hint="eastAsia" w:ascii="宋体" w:hAnsi="宋体" w:cs="Times New Roman"/>
          <w:szCs w:val="28"/>
          <w:highlight w:val="none"/>
        </w:rPr>
      </w:pPr>
    </w:p>
    <w:p w14:paraId="53F0725C">
      <w:pPr>
        <w:widowControl/>
        <w:numPr>
          <w:ilvl w:val="255"/>
          <w:numId w:val="0"/>
        </w:numPr>
        <w:spacing w:line="480" w:lineRule="auto"/>
        <w:jc w:val="left"/>
        <w:rPr>
          <w:rFonts w:hint="eastAsia" w:ascii="宋体" w:hAnsi="宋体" w:cs="Times New Roman"/>
          <w:szCs w:val="28"/>
          <w:highlight w:val="none"/>
        </w:rPr>
      </w:pPr>
    </w:p>
    <w:p w14:paraId="3F4A8F15">
      <w:pPr>
        <w:widowControl/>
        <w:numPr>
          <w:ilvl w:val="255"/>
          <w:numId w:val="0"/>
        </w:numPr>
        <w:spacing w:line="480" w:lineRule="auto"/>
        <w:jc w:val="left"/>
        <w:rPr>
          <w:rFonts w:ascii="宋体" w:hAnsi="宋体" w:cs="Times New Roman"/>
          <w:szCs w:val="28"/>
          <w:highlight w:val="none"/>
        </w:rPr>
      </w:pPr>
      <w:r>
        <w:rPr>
          <w:rFonts w:hint="eastAsia" w:ascii="宋体" w:hAnsi="宋体" w:cs="Times New Roman"/>
          <w:szCs w:val="28"/>
          <w:highlight w:val="none"/>
        </w:rPr>
        <w:t>2、国家企业信用信息公示系统</w:t>
      </w:r>
      <w:r>
        <w:rPr>
          <w:rFonts w:hint="eastAsia"/>
          <w:highlight w:val="none"/>
        </w:rPr>
        <w:t>比选申请人</w:t>
      </w:r>
      <w:r>
        <w:rPr>
          <w:rFonts w:hint="eastAsia" w:ascii="宋体" w:hAnsi="宋体" w:cs="Times New Roman"/>
          <w:szCs w:val="28"/>
          <w:highlight w:val="none"/>
        </w:rPr>
        <w:t>（单位）查询结果页截图证明。</w:t>
      </w:r>
    </w:p>
    <w:p w14:paraId="6574C151">
      <w:pPr>
        <w:widowControl/>
        <w:numPr>
          <w:ilvl w:val="255"/>
          <w:numId w:val="0"/>
        </w:numPr>
        <w:jc w:val="left"/>
        <w:rPr>
          <w:rFonts w:ascii="宋体" w:hAnsi="宋体" w:cs="Times New Roman"/>
          <w:szCs w:val="28"/>
          <w:highlight w:val="none"/>
        </w:rPr>
      </w:pPr>
      <w:r>
        <w:rPr>
          <w:rFonts w:hint="eastAsia"/>
          <w:highlight w:val="none"/>
        </w:rPr>
        <w:t>截图示例：</w:t>
      </w:r>
    </w:p>
    <w:p w14:paraId="18B276C2">
      <w:pPr>
        <w:pStyle w:val="8"/>
        <w:numPr>
          <w:ilvl w:val="255"/>
          <w:numId w:val="0"/>
        </w:numPr>
        <w:rPr>
          <w:highlight w:val="none"/>
        </w:rPr>
      </w:pPr>
      <w:r>
        <w:rPr>
          <w:highlight w:val="none"/>
        </w:rPr>
        <w:drawing>
          <wp:inline distT="0" distB="0" distL="0" distR="0">
            <wp:extent cx="5479415" cy="2746375"/>
            <wp:effectExtent l="0" t="0" r="6985" b="15875"/>
            <wp:docPr id="1027" name="图片 2" descr="1680494219492"/>
            <wp:cNvGraphicFramePr/>
            <a:graphic xmlns:a="http://schemas.openxmlformats.org/drawingml/2006/main">
              <a:graphicData uri="http://schemas.openxmlformats.org/drawingml/2006/picture">
                <pic:pic xmlns:pic="http://schemas.openxmlformats.org/drawingml/2006/picture">
                  <pic:nvPicPr>
                    <pic:cNvPr id="1027" name="图片 2" descr="1680494219492"/>
                    <pic:cNvPicPr/>
                  </pic:nvPicPr>
                  <pic:blipFill>
                    <a:blip r:embed="rId13" cstate="print"/>
                    <a:srcRect/>
                    <a:stretch>
                      <a:fillRect/>
                    </a:stretch>
                  </pic:blipFill>
                  <pic:spPr>
                    <a:xfrm>
                      <a:off x="0" y="0"/>
                      <a:ext cx="5479415" cy="2746375"/>
                    </a:xfrm>
                    <a:prstGeom prst="rect">
                      <a:avLst/>
                    </a:prstGeom>
                  </pic:spPr>
                </pic:pic>
              </a:graphicData>
            </a:graphic>
          </wp:inline>
        </w:drawing>
      </w:r>
    </w:p>
    <w:p w14:paraId="22CC6B59">
      <w:pPr>
        <w:widowControl/>
        <w:numPr>
          <w:ilvl w:val="-1"/>
          <w:numId w:val="0"/>
        </w:numPr>
        <w:spacing w:line="240" w:lineRule="auto"/>
        <w:ind w:firstLine="0"/>
        <w:jc w:val="left"/>
        <w:rPr>
          <w:rFonts w:hint="eastAsia"/>
          <w:highlight w:val="none"/>
          <w:lang w:val="en-US" w:eastAsia="zh-CN"/>
        </w:rPr>
      </w:pPr>
      <w:r>
        <w:rPr>
          <w:rFonts w:hint="eastAsia"/>
          <w:highlight w:val="none"/>
          <w:lang w:val="en-US" w:eastAsia="zh-CN"/>
        </w:rPr>
        <w:br w:type="page"/>
      </w:r>
    </w:p>
    <w:p w14:paraId="7073FC62">
      <w:pPr>
        <w:widowControl/>
        <w:numPr>
          <w:ilvl w:val="255"/>
          <w:numId w:val="0"/>
        </w:numPr>
        <w:spacing w:line="480" w:lineRule="auto"/>
        <w:ind w:firstLine="0"/>
        <w:jc w:val="left"/>
        <w:rPr>
          <w:rFonts w:hint="eastAsia" w:ascii="宋体" w:hAnsi="宋体" w:cs="Times New Roman"/>
          <w:i w:val="0"/>
          <w:iCs w:val="0"/>
          <w:caps w:val="0"/>
          <w:spacing w:val="0"/>
          <w:kern w:val="2"/>
          <w:sz w:val="21"/>
          <w:szCs w:val="28"/>
          <w:highlight w:val="none"/>
          <w:lang w:val="en-US" w:eastAsia="zh-CN"/>
        </w:rPr>
      </w:pPr>
      <w:r>
        <w:rPr>
          <w:rFonts w:hint="eastAsia"/>
          <w:highlight w:val="none"/>
          <w:lang w:val="en-US" w:eastAsia="zh-CN"/>
        </w:rPr>
        <w:t>3、</w:t>
      </w:r>
      <w:r>
        <w:rPr>
          <w:rFonts w:hint="eastAsia" w:ascii="宋体" w:hAnsi="宋体" w:eastAsia="宋体" w:cs="Times New Roman"/>
          <w:i w:val="0"/>
          <w:iCs w:val="0"/>
          <w:caps w:val="0"/>
          <w:spacing w:val="0"/>
          <w:kern w:val="2"/>
          <w:sz w:val="21"/>
          <w:szCs w:val="28"/>
          <w:highlight w:val="none"/>
          <w:lang w:val="en-US" w:eastAsia="zh-CN"/>
        </w:rPr>
        <w:t>比选申请人须在蜀道集团公司工程建设协作方资源库（协作方管理平台，网址：https://xzf.shudaolink.com/）中，被协作方资源库列为C级及以下的比选申请人的比选申请人，不得参加比选申请。</w:t>
      </w:r>
      <w:r>
        <w:rPr>
          <w:rFonts w:hint="eastAsia" w:ascii="宋体" w:hAnsi="宋体" w:cs="Times New Roman"/>
          <w:i w:val="0"/>
          <w:iCs w:val="0"/>
          <w:caps w:val="0"/>
          <w:spacing w:val="0"/>
          <w:kern w:val="2"/>
          <w:sz w:val="21"/>
          <w:szCs w:val="28"/>
          <w:highlight w:val="none"/>
          <w:lang w:val="en-US" w:eastAsia="zh-CN"/>
        </w:rPr>
        <w:t>（提供平台网页查询截图）</w:t>
      </w:r>
    </w:p>
    <w:p w14:paraId="2D063D51">
      <w:pPr>
        <w:rPr>
          <w:rFonts w:hint="eastAsia" w:eastAsia="宋体"/>
          <w:lang w:val="en-US" w:eastAsia="zh-CN"/>
        </w:rPr>
      </w:pPr>
    </w:p>
    <w:p w14:paraId="39D54265">
      <w:pPr>
        <w:widowControl/>
        <w:spacing w:line="240" w:lineRule="auto"/>
        <w:jc w:val="left"/>
        <w:rPr>
          <w:rFonts w:hint="default" w:ascii="宋体" w:hAnsi="宋体" w:cs="Times New Roman"/>
          <w:szCs w:val="28"/>
          <w:highlight w:val="none"/>
          <w:lang w:val="en-US"/>
        </w:rPr>
      </w:pPr>
      <w:r>
        <w:rPr>
          <w:rFonts w:hint="default" w:ascii="宋体" w:hAnsi="宋体" w:cs="Times New Roman"/>
          <w:szCs w:val="28"/>
          <w:highlight w:val="none"/>
          <w:lang w:val="en-US"/>
        </w:rPr>
        <w:br w:type="page"/>
      </w:r>
    </w:p>
    <w:p w14:paraId="5FD78E3A">
      <w:pPr>
        <w:widowControl/>
        <w:spacing w:line="480" w:lineRule="auto"/>
        <w:jc w:val="left"/>
        <w:rPr>
          <w:highlight w:val="none"/>
        </w:rPr>
      </w:pPr>
      <w:r>
        <w:rPr>
          <w:rFonts w:hint="eastAsia" w:ascii="宋体" w:hAnsi="宋体" w:cs="Times New Roman"/>
          <w:szCs w:val="28"/>
          <w:highlight w:val="none"/>
          <w:lang w:val="en-US" w:eastAsia="zh-CN"/>
        </w:rPr>
        <w:t>4</w:t>
      </w:r>
      <w:r>
        <w:rPr>
          <w:rFonts w:hint="eastAsia" w:ascii="宋体" w:hAnsi="宋体" w:cs="Times New Roman"/>
          <w:szCs w:val="28"/>
          <w:highlight w:val="none"/>
        </w:rPr>
        <w:t>、比选申请人认为有必要提供的其他资料</w:t>
      </w:r>
      <w:r>
        <w:rPr>
          <w:rFonts w:hint="eastAsia" w:ascii="宋体" w:hAnsi="宋体" w:cs="Times New Roman"/>
          <w:szCs w:val="28"/>
          <w:highlight w:val="none"/>
          <w:lang w:eastAsia="zh-CN"/>
        </w:rPr>
        <w:t>。</w:t>
      </w:r>
    </w:p>
    <w:sectPr>
      <w:headerReference r:id="rId9" w:type="default"/>
      <w:footerReference r:id="rId10" w:type="default"/>
      <w:pgSz w:w="12240" w:h="15840"/>
      <w:pgMar w:top="1440" w:right="1800" w:bottom="1440" w:left="1800" w:header="720" w:footer="720" w:gutter="0"/>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FC929B2-185E-4BBB-A58A-0426A7AC439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4BD05BC6-0359-4FDE-AE1C-6547B09983D5}"/>
  </w:font>
  <w:font w:name="仿宋_GB2312">
    <w:altName w:val="仿宋"/>
    <w:panose1 w:val="02010609030101010101"/>
    <w:charset w:val="86"/>
    <w:family w:val="modern"/>
    <w:pitch w:val="default"/>
    <w:sig w:usb0="00000000" w:usb1="00000000" w:usb2="00000000" w:usb3="00000000" w:csb0="00040000" w:csb1="00000000"/>
    <w:embedRegular r:id="rId3" w:fontKey="{0987CE6F-C57C-4E6D-8245-AF9512CF5964}"/>
  </w:font>
  <w:font w:name="仿宋">
    <w:panose1 w:val="02010609060101010101"/>
    <w:charset w:val="86"/>
    <w:family w:val="modern"/>
    <w:pitch w:val="default"/>
    <w:sig w:usb0="800002BF" w:usb1="38CF7CFA" w:usb2="00000016" w:usb3="00000000" w:csb0="00040001" w:csb1="00000000"/>
    <w:embedRegular r:id="rId4" w:fontKey="{5E878AE5-CEE0-4FA4-8973-D6FECC7823D1}"/>
  </w:font>
  <w:font w:name="Noto Sans CJK JP Regular">
    <w:altName w:val="Segoe Print"/>
    <w:panose1 w:val="00000000000000000000"/>
    <w:charset w:val="00"/>
    <w:family w:val="swiss"/>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ACF3C50" w:usb2="00000016" w:usb3="00000000" w:csb0="0004001F" w:csb1="00000000"/>
    <w:embedRegular r:id="rId5" w:fontKey="{D5B90408-41C4-4DCF-A961-245DF121ACC7}"/>
  </w:font>
  <w:font w:name="Wingdings 2">
    <w:panose1 w:val="05020102010507070707"/>
    <w:charset w:val="02"/>
    <w:family w:val="roman"/>
    <w:pitch w:val="default"/>
    <w:sig w:usb0="00000000" w:usb1="00000000" w:usb2="00000000" w:usb3="00000000" w:csb0="80000000" w:csb1="00000000"/>
    <w:embedRegular r:id="rId6" w:fontKey="{6C609837-1C7F-42B5-8712-1B553E904388}"/>
  </w:font>
  <w:font w:name="方正小标宋_GBK">
    <w:panose1 w:val="02000000000000000000"/>
    <w:charset w:val="86"/>
    <w:family w:val="auto"/>
    <w:pitch w:val="default"/>
    <w:sig w:usb0="A00002BF" w:usb1="38CF7CFA" w:usb2="00082016" w:usb3="00000000" w:csb0="00040001" w:csb1="00000000"/>
    <w:embedRegular r:id="rId7" w:fontKey="{3DF7C3F5-4A4F-4AC5-AC56-D2B49E85CB9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407D">
    <w:pPr>
      <w:pStyle w:val="1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9B6C5">
    <w:pPr>
      <w:pStyle w:val="12"/>
      <w:framePr w:wrap="around" w:vAnchor="text" w:hAnchor="margin" w:xAlign="outside" w:y="2"/>
      <w:rPr>
        <w:rStyle w:val="18"/>
      </w:rPr>
    </w:pPr>
    <w:r>
      <w:fldChar w:fldCharType="begin"/>
    </w:r>
    <w:r>
      <w:rPr>
        <w:rStyle w:val="18"/>
      </w:rPr>
      <w:instrText xml:space="preserve">PAGE  </w:instrText>
    </w:r>
    <w:r>
      <w:fldChar w:fldCharType="end"/>
    </w:r>
  </w:p>
  <w:p w14:paraId="4BB7C90D">
    <w:pPr>
      <w:pStyle w:val="1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E09D1">
    <w:pPr>
      <w:pStyle w:val="12"/>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106F6">
    <w:pPr>
      <w:pStyle w:val="8"/>
      <w:spacing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0764C4A">
                          <w:pPr>
                            <w:pStyle w:val="12"/>
                          </w:pPr>
                          <w:r>
                            <w:fldChar w:fldCharType="begin"/>
                          </w:r>
                          <w:r>
                            <w:instrText xml:space="preserve"> PAGE  \* MERGEFORMAT </w:instrText>
                          </w:r>
                          <w:r>
                            <w:fldChar w:fldCharType="separate"/>
                          </w:r>
                          <w:r>
                            <w:t>- 1 -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iC+ss0BAACnAwAADgAAAGRycy9lMm9Eb2MueG1srVNLbtswEN0X6B0I&#10;7mspD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9iC+ss0BAACnAwAADgAAAAAAAAABACAAAAAeAQAAZHJzL2Uy&#10;b0RvYy54bWxQSwUGAAAAAAYABgBZAQAAXQUAAAAA&#10;">
              <v:fill on="f" focussize="0,0"/>
              <v:stroke on="f"/>
              <v:imagedata o:title=""/>
              <o:lock v:ext="edit" aspectratio="f"/>
              <v:textbox inset="0mm,0mm,0mm,0mm" style="mso-fit-shape-to-text:t;">
                <w:txbxContent>
                  <w:p w14:paraId="00764C4A">
                    <w:pPr>
                      <w:pStyle w:val="12"/>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893F8">
    <w:pPr>
      <w:jc w:val="left"/>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1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99B4504">
                          <w:pPr>
                            <w:pStyle w:val="12"/>
                          </w:pPr>
                          <w:r>
                            <w:fldChar w:fldCharType="begin"/>
                          </w:r>
                          <w:r>
                            <w:instrText xml:space="preserve"> PAGE  \* MERGEFORMAT </w:instrText>
                          </w:r>
                          <w:r>
                            <w:fldChar w:fldCharType="separate"/>
                          </w:r>
                          <w:r>
                            <w:t>- 103 -</w:t>
                          </w:r>
                          <w:r>
                            <w:fldChar w:fldCharType="end"/>
                          </w:r>
                        </w:p>
                      </w:txbxContent>
                    </wps:txbx>
                    <wps:bodyPr vert="horz" wrap="none" lIns="0" tIns="0" rIns="0" bIns="0" anchor="t">
                      <a:spAutoFit/>
                    </wps:bodyPr>
                  </wps:wsp>
                </a:graphicData>
              </a:graphic>
            </wp:anchor>
          </w:drawing>
        </mc:Choice>
        <mc:Fallback>
          <w:pict>
            <v:rect id="文本框 10"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IutE0zKAQAAkwMAAA4AAAAAAAAAAQAgAAAAHwEAAGRycy9lMm9E&#10;b2MueG1sUEsFBgAAAAAGAAYAWQEAAFsFAAAAAA==&#10;">
              <v:fill on="f" focussize="0,0"/>
              <v:stroke on="f"/>
              <v:imagedata o:title=""/>
              <o:lock v:ext="edit" aspectratio="f"/>
              <v:textbox inset="0mm,0mm,0mm,0mm" style="mso-fit-shape-to-text:t;">
                <w:txbxContent>
                  <w:p w14:paraId="399B4504">
                    <w:pPr>
                      <w:pStyle w:val="12"/>
                    </w:pPr>
                    <w:r>
                      <w:fldChar w:fldCharType="begin"/>
                    </w:r>
                    <w:r>
                      <w:instrText xml:space="preserve"> PAGE  \* MERGEFORMAT </w:instrText>
                    </w:r>
                    <w:r>
                      <w:fldChar w:fldCharType="separate"/>
                    </w:r>
                    <w:r>
                      <w:t>- 103 -</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E3658">
    <w:pPr>
      <w:tabs>
        <w:tab w:val="center" w:pos="4156"/>
        <w:tab w:val="right" w:pos="8312"/>
      </w:tabs>
      <w:snapToGrid w:val="0"/>
      <w:spacing w:after="240" w:afterLines="100"/>
      <w:rPr>
        <w:rFonts w:ascii="Times New Roman" w:hAnsi="Times New Roman" w:cs="Times New Roman"/>
        <w:sz w:val="20"/>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C5482">
    <w:pPr>
      <w:tabs>
        <w:tab w:val="center" w:pos="4156"/>
        <w:tab w:val="right" w:pos="8312"/>
      </w:tabs>
      <w:snapToGrid w:val="0"/>
      <w:spacing w:after="240" w:afterLines="100"/>
      <w:rPr>
        <w:rFonts w:ascii="Times New Roman" w:hAnsi="Times New Roman" w:cs="Times New Roman"/>
        <w:sz w:val="20"/>
        <w:u w:val="singl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47FA9">
    <w:pPr>
      <w:tabs>
        <w:tab w:val="center" w:pos="4156"/>
        <w:tab w:val="right" w:pos="8312"/>
      </w:tabs>
      <w:snapToGrid w:val="0"/>
      <w:spacing w:after="240" w:afterLines="100"/>
      <w:rPr>
        <w:rFonts w:ascii="Times New Roman" w:hAnsi="Times New Roman" w:cs="Times New Roman"/>
        <w:sz w:val="20"/>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8068B8"/>
    <w:multiLevelType w:val="singleLevel"/>
    <w:tmpl w:val="848068B8"/>
    <w:lvl w:ilvl="0" w:tentative="0">
      <w:start w:val="7"/>
      <w:numFmt w:val="decimal"/>
      <w:suff w:val="nothing"/>
      <w:lvlText w:val="%1．"/>
      <w:lvlJc w:val="left"/>
    </w:lvl>
  </w:abstractNum>
  <w:abstractNum w:abstractNumId="1">
    <w:nsid w:val="DF7078D6"/>
    <w:multiLevelType w:val="singleLevel"/>
    <w:tmpl w:val="DF7078D6"/>
    <w:lvl w:ilvl="0" w:tentative="0">
      <w:start w:val="1"/>
      <w:numFmt w:val="decimal"/>
      <w:suff w:val="nothing"/>
      <w:lvlText w:val="%1、"/>
      <w:lvlJc w:val="left"/>
    </w:lvl>
  </w:abstractNum>
  <w:abstractNum w:abstractNumId="2">
    <w:nsid w:val="E620699C"/>
    <w:multiLevelType w:val="singleLevel"/>
    <w:tmpl w:val="E620699C"/>
    <w:lvl w:ilvl="0" w:tentative="0">
      <w:start w:val="1"/>
      <w:numFmt w:val="decimal"/>
      <w:lvlText w:val="%1."/>
      <w:lvlJc w:val="left"/>
      <w:pPr>
        <w:tabs>
          <w:tab w:val="left" w:pos="312"/>
        </w:tabs>
      </w:pPr>
    </w:lvl>
  </w:abstractNum>
  <w:abstractNum w:abstractNumId="3">
    <w:nsid w:val="00000002"/>
    <w:multiLevelType w:val="singleLevel"/>
    <w:tmpl w:val="00000002"/>
    <w:lvl w:ilvl="0" w:tentative="0">
      <w:start w:val="1"/>
      <w:numFmt w:val="decimal"/>
      <w:suff w:val="nothing"/>
      <w:lvlText w:val="%1、"/>
      <w:lvlJc w:val="left"/>
    </w:lvl>
  </w:abstractNum>
  <w:abstractNum w:abstractNumId="4">
    <w:nsid w:val="00000005"/>
    <w:multiLevelType w:val="multilevel"/>
    <w:tmpl w:val="00000005"/>
    <w:lvl w:ilvl="0" w:tentative="0">
      <w:start w:val="1"/>
      <w:numFmt w:val="japaneseCounting"/>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000000A"/>
    <w:multiLevelType w:val="multilevel"/>
    <w:tmpl w:val="0000000A"/>
    <w:lvl w:ilvl="0" w:tentative="0">
      <w:start w:val="1"/>
      <w:numFmt w:val="chineseCountingThousand"/>
      <w:lvlText w:val="%1、"/>
      <w:lvlJc w:val="left"/>
      <w:pPr>
        <w:ind w:left="720" w:hanging="720"/>
      </w:pPr>
      <w:rPr>
        <w:rFonts w:hint="eastAsia" w:ascii="宋体" w:eastAsia="宋体"/>
        <w:b w:val="0"/>
        <w:i w:val="0"/>
        <w:sz w:val="28"/>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681499B"/>
    <w:multiLevelType w:val="singleLevel"/>
    <w:tmpl w:val="0681499B"/>
    <w:lvl w:ilvl="0" w:tentative="0">
      <w:start w:val="1"/>
      <w:numFmt w:val="decimal"/>
      <w:lvlText w:val="%1."/>
      <w:lvlJc w:val="left"/>
      <w:pPr>
        <w:tabs>
          <w:tab w:val="left" w:pos="312"/>
        </w:tabs>
      </w:pPr>
    </w:lvl>
  </w:abstractNum>
  <w:abstractNum w:abstractNumId="7">
    <w:nsid w:val="0C2F1729"/>
    <w:multiLevelType w:val="singleLevel"/>
    <w:tmpl w:val="0C2F1729"/>
    <w:lvl w:ilvl="0" w:tentative="0">
      <w:start w:val="2"/>
      <w:numFmt w:val="chineseCounting"/>
      <w:suff w:val="space"/>
      <w:lvlText w:val="%1、"/>
      <w:lvlJc w:val="left"/>
      <w:rPr>
        <w:rFonts w:hint="eastAsia"/>
      </w:rPr>
    </w:lvl>
  </w:abstractNum>
  <w:abstractNum w:abstractNumId="8">
    <w:nsid w:val="56DF12D3"/>
    <w:multiLevelType w:val="singleLevel"/>
    <w:tmpl w:val="56DF12D3"/>
    <w:lvl w:ilvl="0" w:tentative="0">
      <w:start w:val="19"/>
      <w:numFmt w:val="chineseCounting"/>
      <w:suff w:val="nothing"/>
      <w:lvlText w:val="%1、"/>
      <w:lvlJc w:val="left"/>
      <w:rPr>
        <w:rFonts w:hint="eastAsia"/>
      </w:rPr>
    </w:lvl>
  </w:abstractNum>
  <w:num w:numId="1">
    <w:abstractNumId w:val="0"/>
  </w:num>
  <w:num w:numId="2">
    <w:abstractNumId w:val="6"/>
  </w:num>
  <w:num w:numId="3">
    <w:abstractNumId w:val="2"/>
  </w:num>
  <w:num w:numId="4">
    <w:abstractNumId w:val="3"/>
  </w:num>
  <w:num w:numId="5">
    <w:abstractNumId w:val="1"/>
  </w:num>
  <w:num w:numId="6">
    <w:abstractNumId w:val="8"/>
  </w:num>
  <w:num w:numId="7">
    <w:abstractNumId w:val="4"/>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yODMxYTE0ZTc0ZGU3Y2QwODc3MzYzN2Q1YmNiM2EifQ=="/>
  </w:docVars>
  <w:rsids>
    <w:rsidRoot w:val="69707B5B"/>
    <w:rsid w:val="00351550"/>
    <w:rsid w:val="00467767"/>
    <w:rsid w:val="00CA2E5B"/>
    <w:rsid w:val="010075EB"/>
    <w:rsid w:val="01CC222F"/>
    <w:rsid w:val="01E63672"/>
    <w:rsid w:val="0278692A"/>
    <w:rsid w:val="028E295E"/>
    <w:rsid w:val="029D1C2C"/>
    <w:rsid w:val="02CC6036"/>
    <w:rsid w:val="02E1776D"/>
    <w:rsid w:val="02E47E7B"/>
    <w:rsid w:val="030E4EF9"/>
    <w:rsid w:val="03100052"/>
    <w:rsid w:val="037F30F7"/>
    <w:rsid w:val="03A06576"/>
    <w:rsid w:val="040D036A"/>
    <w:rsid w:val="04732C2D"/>
    <w:rsid w:val="04EA4768"/>
    <w:rsid w:val="0565073F"/>
    <w:rsid w:val="05743D18"/>
    <w:rsid w:val="057C4534"/>
    <w:rsid w:val="05CA10AD"/>
    <w:rsid w:val="061D3270"/>
    <w:rsid w:val="06A706FF"/>
    <w:rsid w:val="06A97C15"/>
    <w:rsid w:val="06C10B96"/>
    <w:rsid w:val="06E30731"/>
    <w:rsid w:val="06FA69DA"/>
    <w:rsid w:val="070C3201"/>
    <w:rsid w:val="07225EE1"/>
    <w:rsid w:val="079C0A39"/>
    <w:rsid w:val="07C10322"/>
    <w:rsid w:val="08C73537"/>
    <w:rsid w:val="0949781A"/>
    <w:rsid w:val="09947AFC"/>
    <w:rsid w:val="0A182626"/>
    <w:rsid w:val="0A9458FA"/>
    <w:rsid w:val="0B0B282B"/>
    <w:rsid w:val="0B6816FD"/>
    <w:rsid w:val="0C774C9E"/>
    <w:rsid w:val="0C9B7B18"/>
    <w:rsid w:val="0CA90A34"/>
    <w:rsid w:val="0CC51CA3"/>
    <w:rsid w:val="0CD5518F"/>
    <w:rsid w:val="0D413FC1"/>
    <w:rsid w:val="0D4E1A6E"/>
    <w:rsid w:val="0D8840E4"/>
    <w:rsid w:val="0DF32305"/>
    <w:rsid w:val="0E6C0832"/>
    <w:rsid w:val="0EF10E5F"/>
    <w:rsid w:val="0F5B73EF"/>
    <w:rsid w:val="0FC033BE"/>
    <w:rsid w:val="100E34D8"/>
    <w:rsid w:val="10BF00B0"/>
    <w:rsid w:val="10F85326"/>
    <w:rsid w:val="11697955"/>
    <w:rsid w:val="12285ED5"/>
    <w:rsid w:val="12553C11"/>
    <w:rsid w:val="12607D1F"/>
    <w:rsid w:val="12892D8A"/>
    <w:rsid w:val="13461166"/>
    <w:rsid w:val="13611248"/>
    <w:rsid w:val="13D529D6"/>
    <w:rsid w:val="13DD0E65"/>
    <w:rsid w:val="13F03DEE"/>
    <w:rsid w:val="145F3F63"/>
    <w:rsid w:val="146B50E8"/>
    <w:rsid w:val="148550BB"/>
    <w:rsid w:val="14A23686"/>
    <w:rsid w:val="14B252D3"/>
    <w:rsid w:val="152B5036"/>
    <w:rsid w:val="152F6116"/>
    <w:rsid w:val="153776F1"/>
    <w:rsid w:val="15842387"/>
    <w:rsid w:val="15A25673"/>
    <w:rsid w:val="15AB4546"/>
    <w:rsid w:val="15B50867"/>
    <w:rsid w:val="15C507BF"/>
    <w:rsid w:val="15F630D7"/>
    <w:rsid w:val="15F663FC"/>
    <w:rsid w:val="168B1872"/>
    <w:rsid w:val="169361BA"/>
    <w:rsid w:val="16B73C96"/>
    <w:rsid w:val="16CD598C"/>
    <w:rsid w:val="171A4BA4"/>
    <w:rsid w:val="177B4732"/>
    <w:rsid w:val="17AC70E3"/>
    <w:rsid w:val="181F13D6"/>
    <w:rsid w:val="18A83540"/>
    <w:rsid w:val="18AA7167"/>
    <w:rsid w:val="18F02060"/>
    <w:rsid w:val="19AA36AD"/>
    <w:rsid w:val="19C017A7"/>
    <w:rsid w:val="1A1F3A85"/>
    <w:rsid w:val="1A570A4A"/>
    <w:rsid w:val="1A5D1B2A"/>
    <w:rsid w:val="1B6F1962"/>
    <w:rsid w:val="1B8F790E"/>
    <w:rsid w:val="1B9F3E1C"/>
    <w:rsid w:val="1BB67BE8"/>
    <w:rsid w:val="1BF105C9"/>
    <w:rsid w:val="1C0C4B4E"/>
    <w:rsid w:val="1C4F4A80"/>
    <w:rsid w:val="1C8C073D"/>
    <w:rsid w:val="1C8D762C"/>
    <w:rsid w:val="1C934712"/>
    <w:rsid w:val="1CDB0B24"/>
    <w:rsid w:val="1CE90183"/>
    <w:rsid w:val="1D0C4F8F"/>
    <w:rsid w:val="1D92375E"/>
    <w:rsid w:val="1DC21303"/>
    <w:rsid w:val="1E312EFF"/>
    <w:rsid w:val="1ED66812"/>
    <w:rsid w:val="1F6E53CE"/>
    <w:rsid w:val="1F761B89"/>
    <w:rsid w:val="1FD85EDF"/>
    <w:rsid w:val="1FFF2619"/>
    <w:rsid w:val="20AE75E0"/>
    <w:rsid w:val="20BE27EC"/>
    <w:rsid w:val="20D9332B"/>
    <w:rsid w:val="2138567F"/>
    <w:rsid w:val="21626E3A"/>
    <w:rsid w:val="21B8750B"/>
    <w:rsid w:val="21BE2132"/>
    <w:rsid w:val="22004FE5"/>
    <w:rsid w:val="22356AB5"/>
    <w:rsid w:val="23362726"/>
    <w:rsid w:val="24953CA0"/>
    <w:rsid w:val="24956E56"/>
    <w:rsid w:val="24F35407"/>
    <w:rsid w:val="2500187D"/>
    <w:rsid w:val="253A2EBB"/>
    <w:rsid w:val="254B6F9C"/>
    <w:rsid w:val="25EA7EB8"/>
    <w:rsid w:val="264F6DD7"/>
    <w:rsid w:val="26773616"/>
    <w:rsid w:val="26793C09"/>
    <w:rsid w:val="267C147F"/>
    <w:rsid w:val="269778C2"/>
    <w:rsid w:val="26BD7C79"/>
    <w:rsid w:val="26F15921"/>
    <w:rsid w:val="274E5EF9"/>
    <w:rsid w:val="27627BE6"/>
    <w:rsid w:val="27647DBD"/>
    <w:rsid w:val="2781161A"/>
    <w:rsid w:val="283261E9"/>
    <w:rsid w:val="286941CF"/>
    <w:rsid w:val="29263E1F"/>
    <w:rsid w:val="295108F9"/>
    <w:rsid w:val="29B43C73"/>
    <w:rsid w:val="29D56D78"/>
    <w:rsid w:val="2A44045E"/>
    <w:rsid w:val="2A8C33B9"/>
    <w:rsid w:val="2AB36371"/>
    <w:rsid w:val="2B3A76B1"/>
    <w:rsid w:val="2B454E60"/>
    <w:rsid w:val="2B860E87"/>
    <w:rsid w:val="2C1E6D4D"/>
    <w:rsid w:val="2C536736"/>
    <w:rsid w:val="2CE7319B"/>
    <w:rsid w:val="2D5A00A7"/>
    <w:rsid w:val="2D70456D"/>
    <w:rsid w:val="2DF62426"/>
    <w:rsid w:val="2E034B4D"/>
    <w:rsid w:val="2E155A37"/>
    <w:rsid w:val="2E361EDF"/>
    <w:rsid w:val="2F0B626C"/>
    <w:rsid w:val="2F6C7459"/>
    <w:rsid w:val="2F6D7B0F"/>
    <w:rsid w:val="2FCB3786"/>
    <w:rsid w:val="2FDB0D50"/>
    <w:rsid w:val="301063A8"/>
    <w:rsid w:val="3011493E"/>
    <w:rsid w:val="304869A0"/>
    <w:rsid w:val="30FE53D5"/>
    <w:rsid w:val="314B0360"/>
    <w:rsid w:val="31CD1789"/>
    <w:rsid w:val="31DE14E1"/>
    <w:rsid w:val="31E9393C"/>
    <w:rsid w:val="32091E9B"/>
    <w:rsid w:val="32CD7638"/>
    <w:rsid w:val="33F558C2"/>
    <w:rsid w:val="34474DD2"/>
    <w:rsid w:val="34603D49"/>
    <w:rsid w:val="350570A7"/>
    <w:rsid w:val="365A7C39"/>
    <w:rsid w:val="36A32F80"/>
    <w:rsid w:val="36D3294D"/>
    <w:rsid w:val="36D6728F"/>
    <w:rsid w:val="37561610"/>
    <w:rsid w:val="375A27EB"/>
    <w:rsid w:val="376C483A"/>
    <w:rsid w:val="376E70A4"/>
    <w:rsid w:val="38176BBA"/>
    <w:rsid w:val="387E4A53"/>
    <w:rsid w:val="390E0B05"/>
    <w:rsid w:val="39445D84"/>
    <w:rsid w:val="394F65AB"/>
    <w:rsid w:val="3952499F"/>
    <w:rsid w:val="39575962"/>
    <w:rsid w:val="39902D77"/>
    <w:rsid w:val="39AA51DE"/>
    <w:rsid w:val="39B02BFA"/>
    <w:rsid w:val="39EE6317"/>
    <w:rsid w:val="3A8469CC"/>
    <w:rsid w:val="3AA06286"/>
    <w:rsid w:val="3B29323F"/>
    <w:rsid w:val="3B554279"/>
    <w:rsid w:val="3B67331A"/>
    <w:rsid w:val="3B6A05DB"/>
    <w:rsid w:val="3BC27434"/>
    <w:rsid w:val="3C101F4E"/>
    <w:rsid w:val="3D3F2588"/>
    <w:rsid w:val="3D6B1F93"/>
    <w:rsid w:val="3E0E6961"/>
    <w:rsid w:val="3E8B5431"/>
    <w:rsid w:val="3F2971FC"/>
    <w:rsid w:val="3F3F3C49"/>
    <w:rsid w:val="3F4F373E"/>
    <w:rsid w:val="3F880A42"/>
    <w:rsid w:val="3FBB7F53"/>
    <w:rsid w:val="407E7DCE"/>
    <w:rsid w:val="408406BC"/>
    <w:rsid w:val="40A96612"/>
    <w:rsid w:val="40C51892"/>
    <w:rsid w:val="40D02E27"/>
    <w:rsid w:val="412B65B5"/>
    <w:rsid w:val="41CD4433"/>
    <w:rsid w:val="424C6DB9"/>
    <w:rsid w:val="4287491A"/>
    <w:rsid w:val="429168C1"/>
    <w:rsid w:val="42C30A10"/>
    <w:rsid w:val="430A0B7A"/>
    <w:rsid w:val="43220884"/>
    <w:rsid w:val="432F1853"/>
    <w:rsid w:val="43EC504E"/>
    <w:rsid w:val="44054FCB"/>
    <w:rsid w:val="44A24D6D"/>
    <w:rsid w:val="44B977B9"/>
    <w:rsid w:val="450B1E4C"/>
    <w:rsid w:val="456B4628"/>
    <w:rsid w:val="4603688D"/>
    <w:rsid w:val="463159DA"/>
    <w:rsid w:val="466E0603"/>
    <w:rsid w:val="469850DD"/>
    <w:rsid w:val="469A000B"/>
    <w:rsid w:val="46ED1809"/>
    <w:rsid w:val="47576E9C"/>
    <w:rsid w:val="476F66C2"/>
    <w:rsid w:val="47953C4F"/>
    <w:rsid w:val="47D91081"/>
    <w:rsid w:val="47F10D9C"/>
    <w:rsid w:val="484E5ED9"/>
    <w:rsid w:val="48C936A9"/>
    <w:rsid w:val="48D01B60"/>
    <w:rsid w:val="48F50839"/>
    <w:rsid w:val="4AB209CE"/>
    <w:rsid w:val="4AD1038D"/>
    <w:rsid w:val="4ADF10D1"/>
    <w:rsid w:val="4B1D6FAC"/>
    <w:rsid w:val="4BB8687F"/>
    <w:rsid w:val="4BC34C6A"/>
    <w:rsid w:val="4BF87F82"/>
    <w:rsid w:val="4C0A5AA2"/>
    <w:rsid w:val="4C20442F"/>
    <w:rsid w:val="4C3645D0"/>
    <w:rsid w:val="4C6D6E51"/>
    <w:rsid w:val="4C9E35A6"/>
    <w:rsid w:val="4CD30F6F"/>
    <w:rsid w:val="4CFC1E5F"/>
    <w:rsid w:val="4D534C7E"/>
    <w:rsid w:val="4D5D5079"/>
    <w:rsid w:val="4D9547E9"/>
    <w:rsid w:val="4DC15335"/>
    <w:rsid w:val="4DE73303"/>
    <w:rsid w:val="4DF0398D"/>
    <w:rsid w:val="4DF9341C"/>
    <w:rsid w:val="4E2E31CA"/>
    <w:rsid w:val="4E696776"/>
    <w:rsid w:val="4E9E4717"/>
    <w:rsid w:val="4EC015B1"/>
    <w:rsid w:val="50593A6B"/>
    <w:rsid w:val="521308A3"/>
    <w:rsid w:val="522C76E0"/>
    <w:rsid w:val="524D21A7"/>
    <w:rsid w:val="52C14EA8"/>
    <w:rsid w:val="52E54BDE"/>
    <w:rsid w:val="5326496F"/>
    <w:rsid w:val="53803A05"/>
    <w:rsid w:val="53DA7A10"/>
    <w:rsid w:val="54AC733F"/>
    <w:rsid w:val="554C34EE"/>
    <w:rsid w:val="554D02FB"/>
    <w:rsid w:val="555667CB"/>
    <w:rsid w:val="55583378"/>
    <w:rsid w:val="55A76A84"/>
    <w:rsid w:val="55F96001"/>
    <w:rsid w:val="56097806"/>
    <w:rsid w:val="56537AC2"/>
    <w:rsid w:val="56557237"/>
    <w:rsid w:val="567201D4"/>
    <w:rsid w:val="56E35D76"/>
    <w:rsid w:val="56F444EE"/>
    <w:rsid w:val="57423096"/>
    <w:rsid w:val="579F6518"/>
    <w:rsid w:val="57A66EC2"/>
    <w:rsid w:val="57F16823"/>
    <w:rsid w:val="581477D3"/>
    <w:rsid w:val="58161436"/>
    <w:rsid w:val="58190141"/>
    <w:rsid w:val="584F6F05"/>
    <w:rsid w:val="586411C7"/>
    <w:rsid w:val="586F0256"/>
    <w:rsid w:val="58754A6F"/>
    <w:rsid w:val="58CE54E5"/>
    <w:rsid w:val="593645DE"/>
    <w:rsid w:val="59A33053"/>
    <w:rsid w:val="59B94275"/>
    <w:rsid w:val="59D176E2"/>
    <w:rsid w:val="5A8A591B"/>
    <w:rsid w:val="5ADE5C44"/>
    <w:rsid w:val="5B1D360B"/>
    <w:rsid w:val="5B812DCF"/>
    <w:rsid w:val="5BA27DF9"/>
    <w:rsid w:val="5BCE37CF"/>
    <w:rsid w:val="5BFF02F1"/>
    <w:rsid w:val="5DC6470A"/>
    <w:rsid w:val="5EC7698C"/>
    <w:rsid w:val="5F1350DA"/>
    <w:rsid w:val="5F5F0972"/>
    <w:rsid w:val="5FB7255D"/>
    <w:rsid w:val="6026148F"/>
    <w:rsid w:val="60740128"/>
    <w:rsid w:val="60E23C3E"/>
    <w:rsid w:val="61093C77"/>
    <w:rsid w:val="610C7A7F"/>
    <w:rsid w:val="617A5C1E"/>
    <w:rsid w:val="61BA67DE"/>
    <w:rsid w:val="61C77312"/>
    <w:rsid w:val="625724AA"/>
    <w:rsid w:val="626D013D"/>
    <w:rsid w:val="62897BB1"/>
    <w:rsid w:val="629770E6"/>
    <w:rsid w:val="62E03010"/>
    <w:rsid w:val="63142348"/>
    <w:rsid w:val="63A837B5"/>
    <w:rsid w:val="64192CFA"/>
    <w:rsid w:val="64B04B11"/>
    <w:rsid w:val="64CC2125"/>
    <w:rsid w:val="64CE0807"/>
    <w:rsid w:val="64DA367B"/>
    <w:rsid w:val="64FF67FD"/>
    <w:rsid w:val="65741DFD"/>
    <w:rsid w:val="662B15AE"/>
    <w:rsid w:val="66E86B8B"/>
    <w:rsid w:val="67250C53"/>
    <w:rsid w:val="67C73A32"/>
    <w:rsid w:val="67D3783F"/>
    <w:rsid w:val="67E949BD"/>
    <w:rsid w:val="67FC13A8"/>
    <w:rsid w:val="687F3E33"/>
    <w:rsid w:val="689B0BC6"/>
    <w:rsid w:val="689E348B"/>
    <w:rsid w:val="68B676F3"/>
    <w:rsid w:val="68BB6FC0"/>
    <w:rsid w:val="68EB3B78"/>
    <w:rsid w:val="69106FC2"/>
    <w:rsid w:val="691C52EC"/>
    <w:rsid w:val="694330B3"/>
    <w:rsid w:val="695D7072"/>
    <w:rsid w:val="69623BE2"/>
    <w:rsid w:val="69707B5B"/>
    <w:rsid w:val="6A694D9B"/>
    <w:rsid w:val="6ACE72AD"/>
    <w:rsid w:val="6B3D425E"/>
    <w:rsid w:val="6B6B2AE0"/>
    <w:rsid w:val="6B8D1939"/>
    <w:rsid w:val="6BAE515B"/>
    <w:rsid w:val="6BC10AD9"/>
    <w:rsid w:val="6BD04E5C"/>
    <w:rsid w:val="6CB87914"/>
    <w:rsid w:val="6CC53F6E"/>
    <w:rsid w:val="6CF44DF0"/>
    <w:rsid w:val="6D82064E"/>
    <w:rsid w:val="6DF25BEE"/>
    <w:rsid w:val="6E22598D"/>
    <w:rsid w:val="6E2B1236"/>
    <w:rsid w:val="6E351FAB"/>
    <w:rsid w:val="6E3A3A92"/>
    <w:rsid w:val="6E696B31"/>
    <w:rsid w:val="6EB506B2"/>
    <w:rsid w:val="6ECF4ECB"/>
    <w:rsid w:val="6EE90259"/>
    <w:rsid w:val="6F1C062E"/>
    <w:rsid w:val="6F592FA2"/>
    <w:rsid w:val="6FAD1286"/>
    <w:rsid w:val="700D3738"/>
    <w:rsid w:val="70161236"/>
    <w:rsid w:val="706A799A"/>
    <w:rsid w:val="70FA7172"/>
    <w:rsid w:val="714026E6"/>
    <w:rsid w:val="71A772E2"/>
    <w:rsid w:val="721469FD"/>
    <w:rsid w:val="72155D12"/>
    <w:rsid w:val="72264D1E"/>
    <w:rsid w:val="73AC0D2D"/>
    <w:rsid w:val="73B01DAA"/>
    <w:rsid w:val="74886859"/>
    <w:rsid w:val="74F60D5D"/>
    <w:rsid w:val="750E35D5"/>
    <w:rsid w:val="75854632"/>
    <w:rsid w:val="759D0D09"/>
    <w:rsid w:val="75AA37DC"/>
    <w:rsid w:val="76596E4D"/>
    <w:rsid w:val="76646885"/>
    <w:rsid w:val="767E3171"/>
    <w:rsid w:val="76854D0B"/>
    <w:rsid w:val="7725204A"/>
    <w:rsid w:val="772C33D8"/>
    <w:rsid w:val="777A4144"/>
    <w:rsid w:val="778C0810"/>
    <w:rsid w:val="78434E7D"/>
    <w:rsid w:val="78980F5E"/>
    <w:rsid w:val="78B34086"/>
    <w:rsid w:val="78CF226D"/>
    <w:rsid w:val="78D10A24"/>
    <w:rsid w:val="78EC0FC7"/>
    <w:rsid w:val="78FF56DF"/>
    <w:rsid w:val="79327699"/>
    <w:rsid w:val="79A712FC"/>
    <w:rsid w:val="79B576B5"/>
    <w:rsid w:val="79CB02C9"/>
    <w:rsid w:val="79E7658E"/>
    <w:rsid w:val="7AAE7AFA"/>
    <w:rsid w:val="7ABB0CFB"/>
    <w:rsid w:val="7B7D6831"/>
    <w:rsid w:val="7BD075C8"/>
    <w:rsid w:val="7BDD17B9"/>
    <w:rsid w:val="7C7C2EDB"/>
    <w:rsid w:val="7D1666BD"/>
    <w:rsid w:val="7D203F29"/>
    <w:rsid w:val="7D457781"/>
    <w:rsid w:val="7D603DDC"/>
    <w:rsid w:val="7D762A21"/>
    <w:rsid w:val="7D803E3F"/>
    <w:rsid w:val="7DE23314"/>
    <w:rsid w:val="7E8E5087"/>
    <w:rsid w:val="7ED97A2F"/>
    <w:rsid w:val="7EFC1A8C"/>
    <w:rsid w:val="7F3B3FDA"/>
    <w:rsid w:val="7F3B44C5"/>
    <w:rsid w:val="7F6830D8"/>
    <w:rsid w:val="7F9A4252"/>
    <w:rsid w:val="7F9B698F"/>
    <w:rsid w:val="7FB22473"/>
    <w:rsid w:val="7FE554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autoRedefine/>
    <w:qFormat/>
    <w:uiPriority w:val="0"/>
    <w:pPr>
      <w:keepNext/>
      <w:keepLines/>
      <w:spacing w:line="360" w:lineRule="auto"/>
      <w:outlineLvl w:val="0"/>
    </w:pPr>
    <w:rPr>
      <w:rFonts w:ascii="Times New Roman" w:hAnsi="Times New Roman" w:cs="Times New Roman"/>
      <w:b/>
      <w:bCs/>
      <w:kern w:val="44"/>
      <w:sz w:val="32"/>
      <w:szCs w:val="44"/>
    </w:rPr>
  </w:style>
  <w:style w:type="paragraph" w:styleId="3">
    <w:name w:val="heading 2"/>
    <w:basedOn w:val="1"/>
    <w:next w:val="1"/>
    <w:autoRedefine/>
    <w:qFormat/>
    <w:uiPriority w:val="0"/>
    <w:pPr>
      <w:keepNext/>
      <w:keepLines/>
      <w:spacing w:before="260" w:after="260" w:line="415" w:lineRule="auto"/>
      <w:outlineLvl w:val="1"/>
    </w:pPr>
    <w:rPr>
      <w:rFonts w:ascii="Arial" w:hAnsi="Arial" w:eastAsia="黑体" w:cs="Times New Roman"/>
      <w:b/>
      <w:bCs/>
      <w:sz w:val="32"/>
      <w:szCs w:val="32"/>
    </w:rPr>
  </w:style>
  <w:style w:type="paragraph" w:styleId="4">
    <w:name w:val="heading 3"/>
    <w:basedOn w:val="1"/>
    <w:next w:val="1"/>
    <w:autoRedefine/>
    <w:qFormat/>
    <w:uiPriority w:val="0"/>
    <w:pPr>
      <w:keepNext/>
      <w:keepLines/>
      <w:spacing w:line="360" w:lineRule="auto"/>
      <w:outlineLvl w:val="2"/>
    </w:pPr>
    <w:rPr>
      <w:rFonts w:ascii="Times New Roman" w:hAnsi="Times New Roman" w:cs="Times New Roman"/>
      <w:b/>
      <w:bCs/>
      <w:sz w:val="24"/>
      <w:szCs w:val="32"/>
    </w:rPr>
  </w:style>
  <w:style w:type="paragraph" w:styleId="5">
    <w:name w:val="heading 4"/>
    <w:basedOn w:val="1"/>
    <w:next w:val="1"/>
    <w:autoRedefine/>
    <w:qFormat/>
    <w:uiPriority w:val="0"/>
    <w:pPr>
      <w:keepNext/>
      <w:keepLines/>
      <w:spacing w:line="360" w:lineRule="auto"/>
      <w:outlineLvl w:val="3"/>
    </w:pPr>
    <w:rPr>
      <w:rFonts w:ascii="Arial" w:hAnsi="Arial" w:cs="Times New Roman"/>
      <w:b/>
      <w:bCs/>
      <w:szCs w:val="28"/>
    </w:rPr>
  </w:style>
  <w:style w:type="character" w:default="1" w:styleId="17">
    <w:name w:val="Default Paragraph Font"/>
    <w:autoRedefine/>
    <w:semiHidden/>
    <w:qFormat/>
    <w:uiPriority w:val="0"/>
  </w:style>
  <w:style w:type="table" w:default="1" w:styleId="15">
    <w:name w:val="Normal Table"/>
    <w:autoRedefine/>
    <w:semiHidden/>
    <w:qFormat/>
    <w:uiPriority w:val="0"/>
    <w:tblPr>
      <w:tblCellMar>
        <w:top w:w="0" w:type="dxa"/>
        <w:left w:w="108" w:type="dxa"/>
        <w:bottom w:w="0" w:type="dxa"/>
        <w:right w:w="108" w:type="dxa"/>
      </w:tblCellMar>
    </w:tblPr>
  </w:style>
  <w:style w:type="paragraph" w:styleId="6">
    <w:name w:val="Normal Indent"/>
    <w:basedOn w:val="1"/>
    <w:next w:val="1"/>
    <w:autoRedefine/>
    <w:qFormat/>
    <w:uiPriority w:val="0"/>
    <w:pPr>
      <w:widowControl/>
      <w:spacing w:before="100" w:beforeLines="0" w:beforeAutospacing="1" w:after="100" w:afterLines="0" w:afterAutospacing="1"/>
      <w:jc w:val="left"/>
    </w:pPr>
    <w:rPr>
      <w:rFonts w:ascii="宋体" w:hAnsi="宋体"/>
      <w:kern w:val="0"/>
      <w:sz w:val="24"/>
      <w:szCs w:val="24"/>
    </w:rPr>
  </w:style>
  <w:style w:type="paragraph" w:styleId="7">
    <w:name w:val="annotation text"/>
    <w:basedOn w:val="1"/>
    <w:autoRedefine/>
    <w:qFormat/>
    <w:uiPriority w:val="0"/>
    <w:pPr>
      <w:spacing w:line="500" w:lineRule="exact"/>
      <w:ind w:firstLine="200" w:firstLineChars="200"/>
      <w:jc w:val="left"/>
    </w:pPr>
    <w:rPr>
      <w:rFonts w:ascii="Times New Roman" w:hAnsi="Times New Roman" w:cs="Times New Roman"/>
      <w:szCs w:val="24"/>
    </w:rPr>
  </w:style>
  <w:style w:type="paragraph" w:styleId="8">
    <w:name w:val="Body Text"/>
    <w:basedOn w:val="1"/>
    <w:next w:val="1"/>
    <w:autoRedefine/>
    <w:qFormat/>
    <w:uiPriority w:val="0"/>
    <w:pPr>
      <w:spacing w:after="120"/>
    </w:pPr>
    <w:rPr>
      <w:rFonts w:ascii="Times New Roman" w:hAnsi="Times New Roman" w:cs="Times New Roman"/>
      <w:szCs w:val="24"/>
    </w:rPr>
  </w:style>
  <w:style w:type="paragraph" w:styleId="9">
    <w:name w:val="Body Text Indent"/>
    <w:basedOn w:val="1"/>
    <w:next w:val="10"/>
    <w:autoRedefine/>
    <w:qFormat/>
    <w:uiPriority w:val="0"/>
    <w:pPr>
      <w:spacing w:after="120"/>
      <w:ind w:left="420" w:leftChars="200"/>
    </w:pPr>
    <w:rPr>
      <w:rFonts w:ascii="Times New Roman" w:hAnsi="Times New Roman" w:cs="Times New Roman"/>
      <w:szCs w:val="24"/>
    </w:rPr>
  </w:style>
  <w:style w:type="paragraph" w:styleId="10">
    <w:name w:val="envelope return"/>
    <w:basedOn w:val="1"/>
    <w:autoRedefine/>
    <w:qFormat/>
    <w:uiPriority w:val="0"/>
    <w:rPr>
      <w:rFonts w:hAnsi="Arial"/>
    </w:rPr>
  </w:style>
  <w:style w:type="paragraph" w:styleId="11">
    <w:name w:val="Plain Text"/>
    <w:basedOn w:val="1"/>
    <w:autoRedefine/>
    <w:qFormat/>
    <w:uiPriority w:val="0"/>
    <w:rPr>
      <w:rFonts w:ascii="宋体" w:hAnsi="Courier New" w:cs="Courier New"/>
      <w:szCs w:val="21"/>
    </w:rPr>
  </w:style>
  <w:style w:type="paragraph" w:styleId="12">
    <w:name w:val="footer"/>
    <w:basedOn w:val="1"/>
    <w:autoRedefine/>
    <w:qFormat/>
    <w:uiPriority w:val="99"/>
    <w:pPr>
      <w:tabs>
        <w:tab w:val="center" w:pos="4153"/>
        <w:tab w:val="right" w:pos="8306"/>
      </w:tabs>
      <w:snapToGrid w:val="0"/>
      <w:jc w:val="left"/>
    </w:pPr>
    <w:rPr>
      <w:sz w:val="18"/>
      <w:szCs w:val="18"/>
    </w:rPr>
  </w:style>
  <w:style w:type="paragraph" w:styleId="13">
    <w:name w:val="toc 1"/>
    <w:basedOn w:val="1"/>
    <w:next w:val="1"/>
    <w:autoRedefine/>
    <w:qFormat/>
    <w:uiPriority w:val="0"/>
    <w:pPr>
      <w:tabs>
        <w:tab w:val="right" w:leader="dot" w:pos="9180"/>
      </w:tabs>
    </w:pPr>
    <w:rPr>
      <w:rFonts w:ascii="Times New Roman" w:hAnsi="Times New Roman" w:cs="Times New Roman"/>
      <w:b/>
      <w:color w:val="0000FF"/>
      <w:szCs w:val="24"/>
    </w:rPr>
  </w:style>
  <w:style w:type="paragraph" w:styleId="14">
    <w:name w:val="Body Text First Indent 2"/>
    <w:basedOn w:val="9"/>
    <w:next w:val="1"/>
    <w:autoRedefine/>
    <w:qFormat/>
    <w:uiPriority w:val="99"/>
    <w:pPr>
      <w:spacing w:line="360" w:lineRule="auto"/>
      <w:ind w:firstLine="420"/>
    </w:pPr>
    <w:rPr>
      <w:rFonts w:ascii="宋体"/>
      <w:kern w:val="0"/>
      <w:sz w:val="28"/>
      <w:szCs w:val="20"/>
    </w:r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basedOn w:val="17"/>
    <w:autoRedefine/>
    <w:qFormat/>
    <w:uiPriority w:val="0"/>
  </w:style>
  <w:style w:type="character" w:styleId="19">
    <w:name w:val="annotation reference"/>
    <w:autoRedefine/>
    <w:qFormat/>
    <w:uiPriority w:val="0"/>
    <w:rPr>
      <w:sz w:val="21"/>
      <w:szCs w:val="21"/>
    </w:rPr>
  </w:style>
  <w:style w:type="paragraph" w:customStyle="1" w:styleId="20">
    <w:name w:val="引用1"/>
    <w:basedOn w:val="1"/>
    <w:next w:val="1"/>
    <w:autoRedefine/>
    <w:qFormat/>
    <w:uiPriority w:val="0"/>
    <w:pPr>
      <w:widowControl/>
      <w:spacing w:line="400" w:lineRule="exact"/>
      <w:ind w:firstLine="420" w:firstLineChars="200"/>
    </w:pPr>
    <w:rPr>
      <w:i/>
      <w:color w:val="000000"/>
      <w:sz w:val="22"/>
    </w:rPr>
  </w:style>
  <w:style w:type="paragraph" w:customStyle="1" w:styleId="21">
    <w:name w:val="Default"/>
    <w:autoRedefine/>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styleId="22">
    <w:name w:val="List Paragraph"/>
    <w:basedOn w:val="1"/>
    <w:autoRedefine/>
    <w:qFormat/>
    <w:uiPriority w:val="0"/>
    <w:pPr>
      <w:spacing w:line="500" w:lineRule="exact"/>
      <w:ind w:firstLine="420" w:firstLineChars="200"/>
    </w:pPr>
    <w:rPr>
      <w:rFonts w:ascii="Times New Roman" w:hAnsi="Times New Roman" w:cs="Times New Roman"/>
      <w:szCs w:val="24"/>
    </w:rPr>
  </w:style>
  <w:style w:type="paragraph" w:customStyle="1" w:styleId="23">
    <w:name w:val="GW-正文"/>
    <w:basedOn w:val="1"/>
    <w:autoRedefine/>
    <w:qFormat/>
    <w:uiPriority w:val="0"/>
    <w:pPr>
      <w:spacing w:line="360" w:lineRule="auto"/>
      <w:ind w:firstLine="200" w:firstLineChars="200"/>
    </w:pPr>
    <w:rPr>
      <w:rFonts w:ascii="Times New Roman" w:hAnsi="Times New Roman" w:eastAsia="仿宋_GB2312"/>
      <w:kern w:val="0"/>
      <w:sz w:val="24"/>
      <w:szCs w:val="24"/>
    </w:rPr>
  </w:style>
  <w:style w:type="paragraph" w:customStyle="1" w:styleId="24">
    <w:name w:val="p0"/>
    <w:basedOn w:val="1"/>
    <w:autoRedefine/>
    <w:qFormat/>
    <w:uiPriority w:val="0"/>
    <w:pPr>
      <w:widowControl/>
      <w:spacing w:line="500" w:lineRule="atLeast"/>
      <w:ind w:firstLine="420"/>
    </w:pPr>
    <w:rPr>
      <w:rFonts w:ascii="Times New Roman" w:hAnsi="Times New Roman" w:cs="Times New Roman"/>
      <w:kern w:val="0"/>
      <w:szCs w:val="21"/>
    </w:rPr>
  </w:style>
  <w:style w:type="paragraph" w:customStyle="1" w:styleId="25">
    <w:name w:val="样式1"/>
    <w:basedOn w:val="1"/>
    <w:autoRedefine/>
    <w:qFormat/>
    <w:uiPriority w:val="0"/>
    <w:pPr>
      <w:spacing w:line="360" w:lineRule="auto"/>
      <w:ind w:firstLine="420" w:firstLineChars="200"/>
    </w:pPr>
    <w:rPr>
      <w:rFonts w:ascii="宋体" w:hAnsi="宋体" w:cs="Times New Roman"/>
      <w:szCs w:val="21"/>
    </w:rPr>
  </w:style>
  <w:style w:type="character" w:customStyle="1" w:styleId="26">
    <w:name w:val="样式 宋体 四号"/>
    <w:autoRedefine/>
    <w:qFormat/>
    <w:uiPriority w:val="0"/>
    <w:rPr>
      <w:rFonts w:ascii="宋体" w:hAnsi="宋体" w:eastAsia="仿宋_GB2312"/>
      <w:color w:val="000000"/>
      <w:sz w:val="28"/>
      <w:szCs w:val="21"/>
    </w:rPr>
  </w:style>
  <w:style w:type="paragraph" w:customStyle="1" w:styleId="27">
    <w:name w:val="Table Paragraph"/>
    <w:basedOn w:val="1"/>
    <w:autoRedefine/>
    <w:qFormat/>
    <w:uiPriority w:val="1"/>
    <w:rPr>
      <w:rFonts w:ascii="Noto Sans CJK JP Regular" w:hAnsi="Noto Sans CJK JP Regular" w:eastAsia="Noto Sans CJK JP Regular" w:cs="Noto Sans CJK JP Regular"/>
      <w:kern w:val="0"/>
      <w:lang w:val="zh-CN" w:bidi="zh-CN"/>
    </w:rPr>
  </w:style>
  <w:style w:type="paragraph" w:customStyle="1" w:styleId="28">
    <w:name w:val="无间隔1"/>
    <w:autoRedefine/>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141</Pages>
  <Words>5621</Words>
  <Characters>6039</Characters>
  <Lines>0</Lines>
  <Paragraphs>0</Paragraphs>
  <TotalTime>10</TotalTime>
  <ScaleCrop>false</ScaleCrop>
  <LinksUpToDate>false</LinksUpToDate>
  <CharactersWithSpaces>6139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2024-05-20T04:37:00Z</dcterms:created>
  <dc:creator>郭清雅</dc:creator>
  <cp:lastModifiedBy>杨泽</cp:lastModifiedBy>
  <dcterms:modified xsi:type="dcterms:W3CDTF">2026-09-15T06:53:23Z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30BAB9EB311B4EEBBACBA14FACB8F838_13</vt:lpwstr>
  </property>
  <property fmtid="{D5CDD505-2E9C-101B-9397-08002B2CF9AE}" pid="4" name="KSOTemplateDocerSaveRecord">
    <vt:lpwstr>eyJoZGlkIjoiMzcyODMxYTE0ZTc0ZGU3Y2QwODc3MzYzN2Q1YmNiM2EiLCJ1c2VySWQiOiIxMjc4OTM4MyJ9</vt:lpwstr>
  </property>
</Properties>
</file>